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AC" w:rsidRDefault="00C47F96">
      <w:pPr>
        <w:tabs>
          <w:tab w:val="left" w:pos="10260"/>
        </w:tabs>
        <w:ind w:right="-1188"/>
      </w:pPr>
      <w:bookmarkStart w:id="0" w:name="_GoBack"/>
      <w:bookmarkEnd w:id="0"/>
      <w:r>
        <w:rPr>
          <w:b/>
          <w:sz w:val="18"/>
          <w:szCs w:val="18"/>
        </w:rPr>
        <w:t xml:space="preserve">Naziv obveznika: </w:t>
      </w:r>
      <w:r w:rsidR="005528BD">
        <w:rPr>
          <w:b/>
          <w:sz w:val="18"/>
          <w:szCs w:val="18"/>
        </w:rPr>
        <w:t>Osnovna škola Petra Studenca</w:t>
      </w:r>
      <w:r w:rsidR="00932CC3">
        <w:rPr>
          <w:b/>
          <w:sz w:val="18"/>
          <w:szCs w:val="18"/>
        </w:rPr>
        <w:t>, Kanfanar</w:t>
      </w:r>
      <w:r w:rsidR="005528BD">
        <w:rPr>
          <w:b/>
          <w:sz w:val="18"/>
          <w:szCs w:val="18"/>
        </w:rPr>
        <w:t xml:space="preserve">                                                                        </w:t>
      </w:r>
    </w:p>
    <w:p w:rsidR="00932CC3" w:rsidRDefault="00C47F96">
      <w:pPr>
        <w:rPr>
          <w:b/>
          <w:sz w:val="18"/>
          <w:szCs w:val="18"/>
        </w:rPr>
      </w:pPr>
      <w:r>
        <w:rPr>
          <w:b/>
          <w:sz w:val="18"/>
          <w:szCs w:val="18"/>
        </w:rPr>
        <w:t xml:space="preserve">Broj </w:t>
      </w:r>
      <w:r w:rsidR="00932CC3">
        <w:rPr>
          <w:b/>
          <w:sz w:val="18"/>
          <w:szCs w:val="18"/>
        </w:rPr>
        <w:t>RKP</w:t>
      </w:r>
      <w:r>
        <w:rPr>
          <w:b/>
          <w:sz w:val="18"/>
          <w:szCs w:val="18"/>
        </w:rPr>
        <w:t xml:space="preserve">-a: </w:t>
      </w:r>
      <w:r w:rsidR="00932CC3">
        <w:rPr>
          <w:b/>
          <w:sz w:val="18"/>
          <w:szCs w:val="18"/>
        </w:rPr>
        <w:t>11445</w:t>
      </w:r>
    </w:p>
    <w:p w:rsidR="00932CC3" w:rsidRDefault="00932CC3">
      <w:pPr>
        <w:rPr>
          <w:b/>
          <w:sz w:val="18"/>
          <w:szCs w:val="18"/>
        </w:rPr>
      </w:pPr>
      <w:r>
        <w:rPr>
          <w:b/>
          <w:sz w:val="18"/>
          <w:szCs w:val="18"/>
        </w:rPr>
        <w:t>Matični broj: 03075354</w:t>
      </w:r>
    </w:p>
    <w:p w:rsidR="00932CC3" w:rsidRDefault="00932CC3">
      <w:pPr>
        <w:rPr>
          <w:b/>
          <w:sz w:val="18"/>
          <w:szCs w:val="18"/>
        </w:rPr>
      </w:pPr>
      <w:r>
        <w:rPr>
          <w:b/>
          <w:sz w:val="18"/>
          <w:szCs w:val="18"/>
        </w:rPr>
        <w:t xml:space="preserve">OIB: 42305886737               </w:t>
      </w:r>
    </w:p>
    <w:p w:rsidR="00932CC3" w:rsidRDefault="00C47F96">
      <w:pPr>
        <w:rPr>
          <w:b/>
          <w:sz w:val="18"/>
          <w:szCs w:val="18"/>
        </w:rPr>
      </w:pPr>
      <w:r>
        <w:rPr>
          <w:b/>
          <w:sz w:val="18"/>
          <w:szCs w:val="18"/>
        </w:rPr>
        <w:t xml:space="preserve">Pošta i mjesto: </w:t>
      </w:r>
      <w:r w:rsidR="005528BD">
        <w:rPr>
          <w:b/>
          <w:sz w:val="18"/>
          <w:szCs w:val="18"/>
        </w:rPr>
        <w:t>52352</w:t>
      </w:r>
      <w:r>
        <w:rPr>
          <w:b/>
          <w:sz w:val="18"/>
          <w:szCs w:val="18"/>
        </w:rPr>
        <w:t xml:space="preserve"> Kanfanar</w:t>
      </w:r>
      <w:r w:rsidR="005528BD">
        <w:rPr>
          <w:b/>
          <w:sz w:val="18"/>
          <w:szCs w:val="18"/>
        </w:rPr>
        <w:t xml:space="preserve">               </w:t>
      </w:r>
    </w:p>
    <w:p w:rsidR="00932CC3" w:rsidRDefault="00C47F96">
      <w:pPr>
        <w:rPr>
          <w:b/>
          <w:sz w:val="18"/>
          <w:szCs w:val="18"/>
        </w:rPr>
      </w:pPr>
      <w:r>
        <w:rPr>
          <w:b/>
          <w:sz w:val="18"/>
          <w:szCs w:val="18"/>
        </w:rPr>
        <w:t xml:space="preserve">Adresa sjedišta: </w:t>
      </w:r>
      <w:r w:rsidR="00932CC3">
        <w:rPr>
          <w:b/>
          <w:sz w:val="18"/>
          <w:szCs w:val="18"/>
        </w:rPr>
        <w:t xml:space="preserve">Dvigradska 3                                                                                                            </w:t>
      </w:r>
      <w:r w:rsidR="005528BD">
        <w:rPr>
          <w:b/>
          <w:sz w:val="18"/>
          <w:szCs w:val="18"/>
        </w:rPr>
        <w:t xml:space="preserve">                                                                    </w:t>
      </w:r>
    </w:p>
    <w:p w:rsidR="00932CC3" w:rsidRDefault="00C47F96">
      <w:pPr>
        <w:rPr>
          <w:b/>
          <w:sz w:val="18"/>
          <w:szCs w:val="18"/>
        </w:rPr>
      </w:pPr>
      <w:r>
        <w:rPr>
          <w:b/>
          <w:sz w:val="18"/>
          <w:szCs w:val="18"/>
        </w:rPr>
        <w:t>Razina:</w:t>
      </w:r>
      <w:r w:rsidR="00932CC3">
        <w:rPr>
          <w:b/>
          <w:sz w:val="18"/>
          <w:szCs w:val="18"/>
        </w:rPr>
        <w:t xml:space="preserve"> 31</w:t>
      </w:r>
    </w:p>
    <w:p w:rsidR="00C47F96" w:rsidRDefault="00C47F96">
      <w:pPr>
        <w:rPr>
          <w:b/>
          <w:sz w:val="18"/>
          <w:szCs w:val="18"/>
        </w:rPr>
      </w:pPr>
      <w:r>
        <w:rPr>
          <w:b/>
          <w:sz w:val="18"/>
          <w:szCs w:val="18"/>
        </w:rPr>
        <w:t xml:space="preserve">Razdjel: </w:t>
      </w:r>
      <w:r w:rsidR="005528BD">
        <w:rPr>
          <w:b/>
          <w:sz w:val="18"/>
          <w:szCs w:val="18"/>
        </w:rPr>
        <w:t>0</w:t>
      </w:r>
    </w:p>
    <w:p w:rsidR="00C47F96" w:rsidRDefault="00932CC3">
      <w:pPr>
        <w:rPr>
          <w:b/>
          <w:sz w:val="18"/>
          <w:szCs w:val="18"/>
        </w:rPr>
      </w:pPr>
      <w:r>
        <w:rPr>
          <w:b/>
          <w:sz w:val="18"/>
          <w:szCs w:val="18"/>
        </w:rPr>
        <w:t xml:space="preserve">Šifra djelatnosti: </w:t>
      </w:r>
      <w:r w:rsidR="00C47F96">
        <w:rPr>
          <w:b/>
          <w:sz w:val="18"/>
          <w:szCs w:val="18"/>
        </w:rPr>
        <w:t>8520 Osnovno obrazovanje</w:t>
      </w:r>
      <w:r w:rsidR="005528BD">
        <w:rPr>
          <w:b/>
          <w:sz w:val="18"/>
          <w:szCs w:val="18"/>
        </w:rPr>
        <w:t xml:space="preserve">             </w:t>
      </w:r>
    </w:p>
    <w:p w:rsidR="00A529AC" w:rsidRDefault="005528BD">
      <w:pPr>
        <w:rPr>
          <w:b/>
          <w:sz w:val="18"/>
          <w:szCs w:val="18"/>
        </w:rPr>
      </w:pPr>
      <w:r>
        <w:rPr>
          <w:b/>
          <w:sz w:val="18"/>
          <w:szCs w:val="18"/>
        </w:rPr>
        <w:t>Šifra županije:  18</w:t>
      </w:r>
      <w:r w:rsidR="00C47F96">
        <w:rPr>
          <w:b/>
          <w:sz w:val="18"/>
          <w:szCs w:val="18"/>
        </w:rPr>
        <w:t xml:space="preserve"> Istarska</w:t>
      </w:r>
    </w:p>
    <w:p w:rsidR="00C47F96" w:rsidRDefault="00C47F96">
      <w:pPr>
        <w:rPr>
          <w:b/>
          <w:sz w:val="18"/>
          <w:szCs w:val="18"/>
        </w:rPr>
      </w:pPr>
      <w:r>
        <w:rPr>
          <w:b/>
          <w:sz w:val="18"/>
          <w:szCs w:val="18"/>
        </w:rPr>
        <w:t>Šifra općine:  175 Kanfanar</w:t>
      </w:r>
    </w:p>
    <w:p w:rsidR="00A529AC" w:rsidRDefault="005528BD">
      <w:pPr>
        <w:outlineLvl w:val="0"/>
        <w:rPr>
          <w:b/>
          <w:sz w:val="18"/>
          <w:szCs w:val="18"/>
        </w:rPr>
      </w:pPr>
      <w:r>
        <w:rPr>
          <w:b/>
          <w:sz w:val="18"/>
          <w:szCs w:val="18"/>
        </w:rPr>
        <w:t>Oznaka razdoblja: 201</w:t>
      </w:r>
      <w:r w:rsidR="00C47F96">
        <w:rPr>
          <w:b/>
          <w:sz w:val="18"/>
          <w:szCs w:val="18"/>
        </w:rPr>
        <w:t>8</w:t>
      </w:r>
      <w:r>
        <w:rPr>
          <w:b/>
          <w:sz w:val="18"/>
          <w:szCs w:val="18"/>
        </w:rPr>
        <w:t>-12</w:t>
      </w:r>
    </w:p>
    <w:p w:rsidR="00A529AC" w:rsidRDefault="00A529AC"/>
    <w:p w:rsidR="00A529AC" w:rsidRDefault="005528BD">
      <w:r>
        <w:t xml:space="preserve">     </w:t>
      </w:r>
    </w:p>
    <w:p w:rsidR="00A529AC" w:rsidRDefault="00A529AC">
      <w:pPr>
        <w:rPr>
          <w:b/>
        </w:rPr>
      </w:pPr>
    </w:p>
    <w:p w:rsidR="00A529AC" w:rsidRPr="00AB6B84" w:rsidRDefault="005528BD">
      <w:pPr>
        <w:jc w:val="center"/>
        <w:outlineLvl w:val="0"/>
        <w:rPr>
          <w:b/>
        </w:rPr>
      </w:pPr>
      <w:r w:rsidRPr="00AB6B84">
        <w:rPr>
          <w:b/>
        </w:rPr>
        <w:t>BILJEŠKE</w:t>
      </w:r>
    </w:p>
    <w:p w:rsidR="00FA41F2" w:rsidRPr="00AB6B84" w:rsidRDefault="00FA41F2">
      <w:pPr>
        <w:jc w:val="center"/>
        <w:outlineLvl w:val="0"/>
        <w:rPr>
          <w:b/>
        </w:rPr>
      </w:pPr>
      <w:r w:rsidRPr="00AB6B84">
        <w:rPr>
          <w:b/>
        </w:rPr>
        <w:t>UZ FINANCIJSKE IZVJEŠTAJE ZA 2018. GODINU</w:t>
      </w:r>
    </w:p>
    <w:p w:rsidR="00A529AC" w:rsidRDefault="00A529AC"/>
    <w:p w:rsidR="00525EEE" w:rsidRDefault="00525EEE" w:rsidP="00525EEE">
      <w:pPr>
        <w:jc w:val="center"/>
        <w:rPr>
          <w:b/>
        </w:rPr>
      </w:pPr>
    </w:p>
    <w:p w:rsidR="00525EEE" w:rsidRDefault="00B9404F" w:rsidP="00525EEE">
      <w:pPr>
        <w:jc w:val="center"/>
        <w:rPr>
          <w:b/>
        </w:rPr>
      </w:pPr>
      <w:r>
        <w:rPr>
          <w:b/>
        </w:rPr>
        <w:t xml:space="preserve">Bilješke uz </w:t>
      </w:r>
      <w:r w:rsidR="00AB6B84">
        <w:rPr>
          <w:b/>
        </w:rPr>
        <w:t>bilancu – Obrazac BIL</w:t>
      </w:r>
    </w:p>
    <w:p w:rsidR="00525EEE" w:rsidRPr="00883C4C" w:rsidRDefault="00525EEE" w:rsidP="00525EEE"/>
    <w:p w:rsidR="00804E0A" w:rsidRDefault="00804E0A" w:rsidP="00525EEE"/>
    <w:p w:rsidR="00804E0A" w:rsidRPr="00804E0A" w:rsidRDefault="00804E0A" w:rsidP="00525EEE">
      <w:pPr>
        <w:rPr>
          <w:u w:val="single"/>
        </w:rPr>
      </w:pPr>
      <w:r w:rsidRPr="00804E0A">
        <w:rPr>
          <w:u w:val="single"/>
        </w:rPr>
        <w:t>AOP 002 Nefinancijska imovina</w:t>
      </w:r>
    </w:p>
    <w:p w:rsidR="005965F4" w:rsidRDefault="00804E0A" w:rsidP="00525EEE">
      <w:r>
        <w:t xml:space="preserve">Povećanje vrijednosti proizlazi iz </w:t>
      </w:r>
      <w:r w:rsidR="005965F4">
        <w:t xml:space="preserve">ulaganja u povećanje vrijednosti školske zgrade te </w:t>
      </w:r>
      <w:r>
        <w:t xml:space="preserve">nabave opreme i sitnog inventara za potrebe </w:t>
      </w:r>
      <w:r w:rsidR="005965F4">
        <w:t>redovnog poslovanja škole:</w:t>
      </w:r>
      <w:r>
        <w:t xml:space="preserve"> </w:t>
      </w:r>
    </w:p>
    <w:p w:rsidR="005965F4" w:rsidRDefault="00804E0A" w:rsidP="005965F4">
      <w:pPr>
        <w:pStyle w:val="ListParagraph"/>
        <w:numPr>
          <w:ilvl w:val="0"/>
          <w:numId w:val="5"/>
        </w:numPr>
      </w:pPr>
      <w:r>
        <w:t>zamjena rasvjetnih tijela</w:t>
      </w:r>
      <w:r w:rsidR="005965F4">
        <w:t xml:space="preserve"> (Istarska županija),</w:t>
      </w:r>
    </w:p>
    <w:p w:rsidR="005965F4" w:rsidRDefault="00804E0A" w:rsidP="005965F4">
      <w:pPr>
        <w:pStyle w:val="ListParagraph"/>
        <w:numPr>
          <w:ilvl w:val="0"/>
          <w:numId w:val="5"/>
        </w:numPr>
      </w:pPr>
      <w:r>
        <w:t>rekonstrukcija i opremanje sanitarnog čvora za učenike matične škole u Kanfanaru</w:t>
      </w:r>
      <w:r w:rsidR="005965F4">
        <w:t xml:space="preserve"> (Istarska županija),</w:t>
      </w:r>
    </w:p>
    <w:p w:rsidR="005965F4" w:rsidRDefault="005965F4" w:rsidP="005965F4">
      <w:pPr>
        <w:pStyle w:val="ListParagraph"/>
        <w:numPr>
          <w:ilvl w:val="0"/>
          <w:numId w:val="3"/>
        </w:numPr>
      </w:pPr>
      <w:r>
        <w:t>nabava</w:t>
      </w:r>
      <w:r w:rsidR="00804E0A">
        <w:t xml:space="preserve"> 12 kompleta računalo-monitor-miš-tipkovnica</w:t>
      </w:r>
      <w:r>
        <w:t xml:space="preserve"> (Ministarstvo</w:t>
      </w:r>
      <w:r w:rsidR="00804E0A">
        <w:t xml:space="preserve"> znanosti i obrazovanja za opremanje učionice informatike), </w:t>
      </w:r>
    </w:p>
    <w:p w:rsidR="00804E0A" w:rsidRDefault="005965F4" w:rsidP="005965F4">
      <w:pPr>
        <w:pStyle w:val="ListParagraph"/>
        <w:numPr>
          <w:ilvl w:val="0"/>
          <w:numId w:val="3"/>
        </w:numPr>
      </w:pPr>
      <w:r>
        <w:t>prijenosno računalo, 6 stolnih računala i 2 printera (pomoć TOŠ B. Benussi Rovinj)</w:t>
      </w:r>
    </w:p>
    <w:p w:rsidR="005965F4" w:rsidRDefault="005965F4" w:rsidP="005965F4">
      <w:pPr>
        <w:pStyle w:val="ListParagraph"/>
        <w:numPr>
          <w:ilvl w:val="0"/>
          <w:numId w:val="3"/>
        </w:numPr>
      </w:pPr>
      <w:r>
        <w:t>projektor i 3 projekcijska platna (prihod od naknade štete po osnovi osiguranja imovine)</w:t>
      </w:r>
    </w:p>
    <w:p w:rsidR="005965F4" w:rsidRDefault="005965F4" w:rsidP="005965F4">
      <w:pPr>
        <w:pStyle w:val="ListParagraph"/>
        <w:numPr>
          <w:ilvl w:val="0"/>
          <w:numId w:val="3"/>
        </w:numPr>
      </w:pPr>
      <w:r>
        <w:t xml:space="preserve">klima uređaj za učionicu glazbenog, povijesti i </w:t>
      </w:r>
      <w:r w:rsidR="003C09A1">
        <w:t>geografije</w:t>
      </w:r>
      <w:r>
        <w:t xml:space="preserve"> (Istarska županija)</w:t>
      </w:r>
    </w:p>
    <w:p w:rsidR="005965F4" w:rsidRDefault="005965F4" w:rsidP="005965F4">
      <w:pPr>
        <w:pStyle w:val="ListParagraph"/>
        <w:numPr>
          <w:ilvl w:val="0"/>
          <w:numId w:val="3"/>
        </w:numPr>
      </w:pPr>
      <w:r>
        <w:t>3 bežićna mikrofona (Istarska županija u sklopu projekta Zavičajne nastave)</w:t>
      </w:r>
    </w:p>
    <w:p w:rsidR="00804E0A" w:rsidRDefault="005965F4" w:rsidP="00525EEE">
      <w:pPr>
        <w:pStyle w:val="ListParagraph"/>
        <w:numPr>
          <w:ilvl w:val="0"/>
          <w:numId w:val="3"/>
        </w:numPr>
      </w:pPr>
      <w:r>
        <w:t>knjige za školsku knjižnicu (Ministarstvo znanosti i obrazovanja)</w:t>
      </w:r>
    </w:p>
    <w:p w:rsidR="00183875" w:rsidRDefault="00183875" w:rsidP="00525EEE">
      <w:pPr>
        <w:pStyle w:val="ListParagraph"/>
        <w:numPr>
          <w:ilvl w:val="0"/>
          <w:numId w:val="3"/>
        </w:numPr>
      </w:pPr>
      <w:r>
        <w:t xml:space="preserve">sitni inventar: termometri za kuhinjske frižidere, lopte, ljestve, škare za živicu , usisavač, preklopne stolice za školsku kuhinju i dr. </w:t>
      </w:r>
    </w:p>
    <w:p w:rsidR="00183875" w:rsidRDefault="00183875" w:rsidP="00525EEE"/>
    <w:p w:rsidR="00183875" w:rsidRPr="00183875" w:rsidRDefault="00183875" w:rsidP="00525EEE">
      <w:pPr>
        <w:rPr>
          <w:u w:val="single"/>
        </w:rPr>
      </w:pPr>
      <w:r w:rsidRPr="00183875">
        <w:rPr>
          <w:u w:val="single"/>
        </w:rPr>
        <w:t>AOP 052 Građevinski objekti u pripremi</w:t>
      </w:r>
    </w:p>
    <w:p w:rsidR="00525EEE" w:rsidRPr="00525EEE" w:rsidRDefault="00525EEE" w:rsidP="00525EEE">
      <w:r w:rsidRPr="00525EEE">
        <w:t xml:space="preserve">Evidentirano dodatno ulaganje u imovinu u pripremi odnosi se na trošak </w:t>
      </w:r>
      <w:r w:rsidR="000F255A">
        <w:t xml:space="preserve">izrade </w:t>
      </w:r>
      <w:r w:rsidR="00183875">
        <w:t xml:space="preserve">glavnog </w:t>
      </w:r>
      <w:r w:rsidRPr="00525EEE">
        <w:t>projekta</w:t>
      </w:r>
      <w:r w:rsidR="000F255A">
        <w:t xml:space="preserve"> nadogradnje </w:t>
      </w:r>
      <w:r w:rsidR="00183875">
        <w:t xml:space="preserve">matične </w:t>
      </w:r>
      <w:r w:rsidR="000F255A">
        <w:t>školske zgrade</w:t>
      </w:r>
      <w:r w:rsidR="00183875">
        <w:t xml:space="preserve"> u Kanfanaru i 1. ratu</w:t>
      </w:r>
      <w:r w:rsidR="000F255A">
        <w:t xml:space="preserve"> priključenja na elekt</w:t>
      </w:r>
      <w:r w:rsidR="00183875">
        <w:t xml:space="preserve">oenergetsku </w:t>
      </w:r>
      <w:r w:rsidR="000F255A">
        <w:t>mrežu</w:t>
      </w:r>
      <w:r w:rsidR="00183875">
        <w:t>.</w:t>
      </w:r>
    </w:p>
    <w:p w:rsidR="00525EEE" w:rsidRDefault="00525EEE" w:rsidP="00525EEE">
      <w:pPr>
        <w:rPr>
          <w:u w:val="single"/>
        </w:rPr>
      </w:pPr>
    </w:p>
    <w:p w:rsidR="00525EEE" w:rsidRPr="00193CC9" w:rsidRDefault="00525EEE" w:rsidP="00525EEE">
      <w:pPr>
        <w:rPr>
          <w:u w:val="single"/>
        </w:rPr>
      </w:pPr>
      <w:r w:rsidRPr="00193CC9">
        <w:rPr>
          <w:u w:val="single"/>
        </w:rPr>
        <w:t>AOP 079 Potraživanja za više plaćene poreze i doprinose</w:t>
      </w:r>
    </w:p>
    <w:p w:rsidR="00183875" w:rsidRPr="00E428AC" w:rsidRDefault="00183875" w:rsidP="00183875">
      <w:pPr>
        <w:jc w:val="both"/>
      </w:pPr>
      <w:r>
        <w:t>Pozicija obuhvaća potraživanje za više uplaćen porez na dohodak i prirez porezu na dohodak po osnovi godišnjeg obračuna plaće.</w:t>
      </w:r>
      <w:r w:rsidRPr="00E428AC">
        <w:t xml:space="preserve"> </w:t>
      </w:r>
    </w:p>
    <w:p w:rsidR="00525EEE" w:rsidRDefault="00525EEE" w:rsidP="00525EEE">
      <w:pPr>
        <w:rPr>
          <w:u w:val="single"/>
        </w:rPr>
      </w:pPr>
    </w:p>
    <w:p w:rsidR="00525EEE" w:rsidRPr="00193CC9" w:rsidRDefault="00525EEE" w:rsidP="00525EEE">
      <w:pPr>
        <w:rPr>
          <w:u w:val="single"/>
        </w:rPr>
      </w:pPr>
      <w:r w:rsidRPr="00193CC9">
        <w:rPr>
          <w:u w:val="single"/>
        </w:rPr>
        <w:t>AOP 080 Ostala potraživanja</w:t>
      </w:r>
    </w:p>
    <w:p w:rsidR="00525EEE" w:rsidRPr="00E428AC" w:rsidRDefault="00525EEE" w:rsidP="00525EEE">
      <w:pPr>
        <w:jc w:val="both"/>
      </w:pPr>
      <w:r>
        <w:t>Pozicija obuhvaća potraživanja</w:t>
      </w:r>
      <w:r w:rsidRPr="00E428AC">
        <w:t xml:space="preserve"> za bolovanje na teret HZZO-a po osnovi plaće i ostala nespomenuta potraživanja iz ranijih razdoblja. </w:t>
      </w:r>
    </w:p>
    <w:p w:rsidR="00525EEE" w:rsidRPr="00E428AC" w:rsidRDefault="00525EEE" w:rsidP="00525EEE">
      <w:pPr>
        <w:jc w:val="center"/>
        <w:rPr>
          <w:b/>
        </w:rPr>
      </w:pPr>
    </w:p>
    <w:p w:rsidR="00525EEE" w:rsidRPr="00193CC9" w:rsidRDefault="00525EEE" w:rsidP="00525EEE">
      <w:pPr>
        <w:jc w:val="both"/>
        <w:rPr>
          <w:u w:val="single"/>
        </w:rPr>
      </w:pPr>
      <w:r w:rsidRPr="00193CC9">
        <w:rPr>
          <w:u w:val="single"/>
        </w:rPr>
        <w:t>AOP 150 Potraživanja za pomoći iz državnog proračuna temeljem prijenosa EU sredstava</w:t>
      </w:r>
    </w:p>
    <w:p w:rsidR="00183875" w:rsidRDefault="00183875" w:rsidP="00183875">
      <w:pPr>
        <w:jc w:val="both"/>
      </w:pPr>
      <w:r>
        <w:t>Pozicija se odnosi na potraživanje iz projekta Školske sheme – program poticanja uvođenja voća, povrća, mlijeka i mliječnih proizvoda u školsku marendu, kojega financira Ministarstvo poljoprivrede sredstvima iz EU fondova.</w:t>
      </w:r>
    </w:p>
    <w:p w:rsidR="0014385C" w:rsidRDefault="0014385C" w:rsidP="00525EEE">
      <w:pPr>
        <w:jc w:val="both"/>
      </w:pPr>
    </w:p>
    <w:p w:rsidR="0014385C" w:rsidRPr="00193CC9" w:rsidRDefault="0014385C" w:rsidP="00525EEE">
      <w:pPr>
        <w:jc w:val="both"/>
        <w:rPr>
          <w:u w:val="single"/>
        </w:rPr>
      </w:pPr>
      <w:r w:rsidRPr="00193CC9">
        <w:rPr>
          <w:u w:val="single"/>
        </w:rPr>
        <w:lastRenderedPageBreak/>
        <w:t>AOP 152</w:t>
      </w:r>
      <w:r w:rsidR="00193CC9" w:rsidRPr="00193CC9">
        <w:rPr>
          <w:u w:val="single"/>
        </w:rPr>
        <w:t xml:space="preserve"> Potraživanja za naknade po posebnim propisima</w:t>
      </w:r>
    </w:p>
    <w:p w:rsidR="00183875" w:rsidRDefault="00183875" w:rsidP="00183875">
      <w:pPr>
        <w:jc w:val="both"/>
      </w:pPr>
      <w:r>
        <w:t>Pozicija obuhvaća p</w:t>
      </w:r>
      <w:r w:rsidRPr="00E428AC">
        <w:t>otraživanja po osnovi pruženih usluga školske marende i produženog boravka.</w:t>
      </w:r>
    </w:p>
    <w:p w:rsidR="0014385C" w:rsidRDefault="0014385C" w:rsidP="00525EEE">
      <w:pPr>
        <w:jc w:val="both"/>
      </w:pPr>
    </w:p>
    <w:p w:rsidR="0014385C" w:rsidRPr="00193CC9" w:rsidRDefault="0014385C" w:rsidP="00525EEE">
      <w:pPr>
        <w:jc w:val="both"/>
        <w:rPr>
          <w:u w:val="single"/>
        </w:rPr>
      </w:pPr>
      <w:r w:rsidRPr="00193CC9">
        <w:rPr>
          <w:u w:val="single"/>
        </w:rPr>
        <w:t>AOP 153</w:t>
      </w:r>
      <w:r w:rsidR="00193CC9" w:rsidRPr="00193CC9">
        <w:rPr>
          <w:u w:val="single"/>
        </w:rPr>
        <w:t xml:space="preserve"> Potraživanja za prihode od pruženih usluga</w:t>
      </w:r>
    </w:p>
    <w:p w:rsidR="0014385C" w:rsidRDefault="00183875" w:rsidP="00525EEE">
      <w:pPr>
        <w:jc w:val="both"/>
      </w:pPr>
      <w:r>
        <w:t>Pozicija obuhvaća p</w:t>
      </w:r>
      <w:r w:rsidRPr="00E428AC">
        <w:t xml:space="preserve">otraživanja po osnovi </w:t>
      </w:r>
      <w:r>
        <w:t>najma</w:t>
      </w:r>
      <w:r w:rsidR="0014385C">
        <w:t xml:space="preserve"> školske dvorane.</w:t>
      </w:r>
    </w:p>
    <w:p w:rsidR="0014385C" w:rsidRDefault="0014385C" w:rsidP="00525EEE">
      <w:pPr>
        <w:jc w:val="both"/>
      </w:pPr>
    </w:p>
    <w:p w:rsidR="0014385C" w:rsidRPr="00193CC9" w:rsidRDefault="0014385C" w:rsidP="00525EEE">
      <w:pPr>
        <w:jc w:val="both"/>
        <w:rPr>
          <w:u w:val="single"/>
        </w:rPr>
      </w:pPr>
      <w:r w:rsidRPr="00193CC9">
        <w:rPr>
          <w:u w:val="single"/>
        </w:rPr>
        <w:t>AOP 160</w:t>
      </w:r>
      <w:r w:rsidR="00193CC9" w:rsidRPr="00193CC9">
        <w:rPr>
          <w:u w:val="single"/>
        </w:rPr>
        <w:t xml:space="preserve"> Nedospjela naplata prihoda</w:t>
      </w:r>
    </w:p>
    <w:p w:rsidR="0014385C" w:rsidRDefault="00183875" w:rsidP="00525EEE">
      <w:pPr>
        <w:jc w:val="both"/>
      </w:pPr>
      <w:r>
        <w:t>Pozicija obuhvaća p</w:t>
      </w:r>
      <w:r w:rsidR="0014385C">
        <w:t>otraživanje za plaću učitelja u produženom boravku za prosinac</w:t>
      </w:r>
      <w:r>
        <w:t xml:space="preserve"> 2018</w:t>
      </w:r>
      <w:r w:rsidR="0014385C">
        <w:t>.</w:t>
      </w:r>
      <w:r w:rsidR="003C09A1">
        <w:t xml:space="preserve"> k</w:t>
      </w:r>
      <w:r>
        <w:t xml:space="preserve">oja će biti isplaćena u siječnju 2019. </w:t>
      </w:r>
      <w:r w:rsidR="003C09A1">
        <w:t>Godine.</w:t>
      </w:r>
    </w:p>
    <w:p w:rsidR="0014385C" w:rsidRDefault="0014385C" w:rsidP="00525EEE">
      <w:pPr>
        <w:jc w:val="both"/>
      </w:pPr>
    </w:p>
    <w:p w:rsidR="0014385C" w:rsidRPr="00193CC9" w:rsidRDefault="0014385C" w:rsidP="00525EEE">
      <w:pPr>
        <w:jc w:val="both"/>
        <w:rPr>
          <w:u w:val="single"/>
        </w:rPr>
      </w:pPr>
      <w:r w:rsidRPr="00193CC9">
        <w:rPr>
          <w:u w:val="single"/>
        </w:rPr>
        <w:t>AOP 161</w:t>
      </w:r>
      <w:r w:rsidR="00193CC9" w:rsidRPr="00193CC9">
        <w:rPr>
          <w:u w:val="single"/>
        </w:rPr>
        <w:t xml:space="preserve"> Kontinuirani rashodi budućih razdoblja</w:t>
      </w:r>
    </w:p>
    <w:p w:rsidR="00183875" w:rsidRDefault="00183875" w:rsidP="00183875">
      <w:pPr>
        <w:jc w:val="both"/>
      </w:pPr>
      <w:r>
        <w:t xml:space="preserve">Pozicija se odnosi na rashode plaća zaposlenih i naknade za </w:t>
      </w:r>
      <w:r w:rsidR="008934CA">
        <w:t>neispunjavanje kvote zapošljavanja</w:t>
      </w:r>
      <w:r>
        <w:t xml:space="preserve"> osoba s invaliditetom, za mjesec prosinac, koji će biti isplaćeni u siječnju 2019. godine.</w:t>
      </w:r>
    </w:p>
    <w:p w:rsidR="0014385C" w:rsidRDefault="0014385C" w:rsidP="00525EEE">
      <w:pPr>
        <w:jc w:val="both"/>
      </w:pPr>
    </w:p>
    <w:p w:rsidR="0014385C" w:rsidRPr="00193CC9" w:rsidRDefault="0014385C" w:rsidP="00525EEE">
      <w:pPr>
        <w:jc w:val="both"/>
        <w:rPr>
          <w:u w:val="single"/>
        </w:rPr>
      </w:pPr>
      <w:r w:rsidRPr="00193CC9">
        <w:rPr>
          <w:u w:val="single"/>
        </w:rPr>
        <w:t>AOP 165</w:t>
      </w:r>
      <w:r w:rsidR="00193CC9" w:rsidRPr="00193CC9">
        <w:rPr>
          <w:u w:val="single"/>
        </w:rPr>
        <w:t xml:space="preserve"> Obveze za zaposlene</w:t>
      </w:r>
    </w:p>
    <w:p w:rsidR="0014385C" w:rsidRDefault="008934CA" w:rsidP="00525EEE">
      <w:pPr>
        <w:jc w:val="both"/>
      </w:pPr>
      <w:r>
        <w:t xml:space="preserve">Pozicija obuhvaća obvezu plaće za zaposlene </w:t>
      </w:r>
      <w:r w:rsidR="0014385C">
        <w:t>za prosinac</w:t>
      </w:r>
      <w:r>
        <w:t xml:space="preserve"> 2018. koja će biti isplaćena u siječnju 2019.</w:t>
      </w:r>
      <w:r w:rsidR="003C09A1">
        <w:t xml:space="preserve"> Godine.</w:t>
      </w:r>
    </w:p>
    <w:p w:rsidR="0014385C" w:rsidRDefault="0014385C" w:rsidP="00525EEE">
      <w:pPr>
        <w:jc w:val="both"/>
      </w:pPr>
    </w:p>
    <w:p w:rsidR="0014385C" w:rsidRPr="00193CC9" w:rsidRDefault="0014385C" w:rsidP="00525EEE">
      <w:pPr>
        <w:jc w:val="both"/>
        <w:rPr>
          <w:u w:val="single"/>
        </w:rPr>
      </w:pPr>
      <w:r w:rsidRPr="00193CC9">
        <w:rPr>
          <w:u w:val="single"/>
        </w:rPr>
        <w:t>AOP 166-175</w:t>
      </w:r>
      <w:r w:rsidR="00193CC9" w:rsidRPr="00193CC9">
        <w:rPr>
          <w:u w:val="single"/>
        </w:rPr>
        <w:t xml:space="preserve"> Obveze za materijalne rashode i nabavu nefinancijske imovine</w:t>
      </w:r>
    </w:p>
    <w:p w:rsidR="0014385C" w:rsidRDefault="0014385C" w:rsidP="00525EEE">
      <w:pPr>
        <w:jc w:val="both"/>
      </w:pPr>
      <w:r>
        <w:t>Obveze prema računima dobavljača s rokom dospijeća plaćanja nakon 31.12.2108. godine.</w:t>
      </w:r>
    </w:p>
    <w:p w:rsidR="0014385C" w:rsidRDefault="0014385C" w:rsidP="00525EEE">
      <w:pPr>
        <w:jc w:val="both"/>
      </w:pPr>
    </w:p>
    <w:p w:rsidR="0014385C" w:rsidRPr="000F255A" w:rsidRDefault="0014385C" w:rsidP="00525EEE">
      <w:pPr>
        <w:jc w:val="both"/>
        <w:rPr>
          <w:u w:val="single"/>
        </w:rPr>
      </w:pPr>
      <w:r w:rsidRPr="000F255A">
        <w:rPr>
          <w:u w:val="single"/>
        </w:rPr>
        <w:t>AOP 226</w:t>
      </w:r>
      <w:r w:rsidR="00193CC9" w:rsidRPr="000F255A">
        <w:rPr>
          <w:u w:val="single"/>
        </w:rPr>
        <w:t xml:space="preserve"> </w:t>
      </w:r>
      <w:r w:rsidR="000F255A" w:rsidRPr="000F255A">
        <w:rPr>
          <w:u w:val="single"/>
        </w:rPr>
        <w:t>Vlastiti izvori iz proračuna</w:t>
      </w:r>
    </w:p>
    <w:p w:rsidR="0014385C" w:rsidRPr="00E428AC" w:rsidRDefault="0014385C" w:rsidP="00525EEE">
      <w:pPr>
        <w:jc w:val="both"/>
      </w:pPr>
      <w:r>
        <w:t>Povećanje se odnosi na dodatno ulaganje u priprem</w:t>
      </w:r>
      <w:r w:rsidR="00193CC9">
        <w:t>u izgradnje nove školske zgrade koju financira osnivač Istarska županija.</w:t>
      </w:r>
    </w:p>
    <w:p w:rsidR="00525EEE" w:rsidRPr="00E428AC" w:rsidRDefault="00525EEE" w:rsidP="00525EEE"/>
    <w:p w:rsidR="00525EEE" w:rsidRPr="000F255A" w:rsidRDefault="00B9404F" w:rsidP="00525EEE">
      <w:pPr>
        <w:jc w:val="both"/>
        <w:rPr>
          <w:u w:val="single"/>
        </w:rPr>
      </w:pPr>
      <w:r w:rsidRPr="000F255A">
        <w:rPr>
          <w:u w:val="single"/>
        </w:rPr>
        <w:t>AOP 232-239 Obračun rezultata</w:t>
      </w:r>
    </w:p>
    <w:p w:rsidR="00525EEE" w:rsidRDefault="00525EEE" w:rsidP="00525EEE">
      <w:pPr>
        <w:jc w:val="both"/>
      </w:pPr>
      <w:r>
        <w:t xml:space="preserve">U bilanci je izvršena obvezna korekcija rezultata </w:t>
      </w:r>
      <w:r w:rsidR="008934CA">
        <w:t xml:space="preserve">po osnovi primljenih kapitalnih pomoći </w:t>
      </w:r>
      <w:r>
        <w:t>kojima je financirana nabava nefinancijske imovine. Slijedom navedenog, postoji odstupanje iskazanih pozicija u obrascima PR-RAS i Bilanca, kako slijedi:</w:t>
      </w:r>
    </w:p>
    <w:p w:rsidR="00525EEE" w:rsidRDefault="00525EEE" w:rsidP="00525EEE">
      <w:pPr>
        <w:jc w:val="both"/>
      </w:pPr>
    </w:p>
    <w:tbl>
      <w:tblPr>
        <w:tblStyle w:val="TableGrid"/>
        <w:tblW w:w="0" w:type="auto"/>
        <w:tblLook w:val="04A0" w:firstRow="1" w:lastRow="0" w:firstColumn="1" w:lastColumn="0" w:noHBand="0" w:noVBand="1"/>
      </w:tblPr>
      <w:tblGrid>
        <w:gridCol w:w="846"/>
        <w:gridCol w:w="2410"/>
        <w:gridCol w:w="2180"/>
        <w:gridCol w:w="1813"/>
        <w:gridCol w:w="1813"/>
      </w:tblGrid>
      <w:tr w:rsidR="00525EEE" w:rsidTr="00E518F8">
        <w:tc>
          <w:tcPr>
            <w:tcW w:w="846" w:type="dxa"/>
          </w:tcPr>
          <w:p w:rsidR="00525EEE" w:rsidRDefault="00525EEE" w:rsidP="00E518F8">
            <w:pPr>
              <w:jc w:val="both"/>
            </w:pPr>
          </w:p>
        </w:tc>
        <w:tc>
          <w:tcPr>
            <w:tcW w:w="2410" w:type="dxa"/>
          </w:tcPr>
          <w:p w:rsidR="00525EEE" w:rsidRDefault="00525EEE" w:rsidP="00B9404F">
            <w:pPr>
              <w:jc w:val="center"/>
            </w:pPr>
            <w:r>
              <w:t>Pozicije na dan 31.12.2018.</w:t>
            </w:r>
          </w:p>
        </w:tc>
        <w:tc>
          <w:tcPr>
            <w:tcW w:w="2180" w:type="dxa"/>
          </w:tcPr>
          <w:p w:rsidR="00525EEE" w:rsidRDefault="00525EEE" w:rsidP="00E518F8">
            <w:pPr>
              <w:jc w:val="center"/>
            </w:pPr>
            <w:r>
              <w:t>PR-RAS</w:t>
            </w:r>
          </w:p>
        </w:tc>
        <w:tc>
          <w:tcPr>
            <w:tcW w:w="1813" w:type="dxa"/>
          </w:tcPr>
          <w:p w:rsidR="00525EEE" w:rsidRDefault="00525EEE" w:rsidP="00E518F8">
            <w:pPr>
              <w:jc w:val="center"/>
            </w:pPr>
            <w:r>
              <w:t>KAPITALNI PRIJENOSI</w:t>
            </w:r>
          </w:p>
        </w:tc>
        <w:tc>
          <w:tcPr>
            <w:tcW w:w="1813" w:type="dxa"/>
          </w:tcPr>
          <w:p w:rsidR="00525EEE" w:rsidRDefault="00525EEE" w:rsidP="00E518F8">
            <w:pPr>
              <w:jc w:val="center"/>
            </w:pPr>
            <w:r>
              <w:t>BILANCA</w:t>
            </w:r>
          </w:p>
        </w:tc>
      </w:tr>
      <w:tr w:rsidR="00525EEE" w:rsidTr="00E518F8">
        <w:tc>
          <w:tcPr>
            <w:tcW w:w="846" w:type="dxa"/>
          </w:tcPr>
          <w:p w:rsidR="00525EEE" w:rsidRDefault="00525EEE" w:rsidP="00E518F8">
            <w:pPr>
              <w:jc w:val="both"/>
            </w:pPr>
            <w:r>
              <w:t>92211</w:t>
            </w:r>
          </w:p>
        </w:tc>
        <w:tc>
          <w:tcPr>
            <w:tcW w:w="2410" w:type="dxa"/>
          </w:tcPr>
          <w:p w:rsidR="00525EEE" w:rsidRDefault="00525EEE" w:rsidP="00E518F8">
            <w:r>
              <w:t>Višak prihoda poslovanja</w:t>
            </w:r>
          </w:p>
        </w:tc>
        <w:tc>
          <w:tcPr>
            <w:tcW w:w="2180" w:type="dxa"/>
          </w:tcPr>
          <w:p w:rsidR="00525EEE" w:rsidRDefault="00525EEE" w:rsidP="00E518F8">
            <w:pPr>
              <w:jc w:val="center"/>
            </w:pPr>
            <w:r>
              <w:t>165.894</w:t>
            </w:r>
          </w:p>
        </w:tc>
        <w:tc>
          <w:tcPr>
            <w:tcW w:w="1813" w:type="dxa"/>
          </w:tcPr>
          <w:p w:rsidR="00525EEE" w:rsidRDefault="00094A7D" w:rsidP="00E518F8">
            <w:pPr>
              <w:jc w:val="center"/>
            </w:pPr>
            <w:r>
              <w:t>-132.091</w:t>
            </w:r>
          </w:p>
        </w:tc>
        <w:tc>
          <w:tcPr>
            <w:tcW w:w="1813" w:type="dxa"/>
          </w:tcPr>
          <w:p w:rsidR="00525EEE" w:rsidRDefault="00525EEE" w:rsidP="00E518F8">
            <w:pPr>
              <w:jc w:val="center"/>
            </w:pPr>
            <w:r>
              <w:t>33.803</w:t>
            </w:r>
          </w:p>
        </w:tc>
      </w:tr>
      <w:tr w:rsidR="00525EEE" w:rsidTr="00E518F8">
        <w:tc>
          <w:tcPr>
            <w:tcW w:w="846" w:type="dxa"/>
          </w:tcPr>
          <w:p w:rsidR="00525EEE" w:rsidRDefault="00525EEE" w:rsidP="00E518F8">
            <w:pPr>
              <w:jc w:val="both"/>
            </w:pPr>
            <w:r>
              <w:t>92212</w:t>
            </w:r>
          </w:p>
        </w:tc>
        <w:tc>
          <w:tcPr>
            <w:tcW w:w="2410" w:type="dxa"/>
          </w:tcPr>
          <w:p w:rsidR="00525EEE" w:rsidRDefault="00525EEE" w:rsidP="00E518F8">
            <w:r>
              <w:t>Višak prihoda od nefinancijske imovine</w:t>
            </w:r>
          </w:p>
        </w:tc>
        <w:tc>
          <w:tcPr>
            <w:tcW w:w="2180" w:type="dxa"/>
          </w:tcPr>
          <w:p w:rsidR="00525EEE" w:rsidRDefault="00525EEE" w:rsidP="00E518F8">
            <w:pPr>
              <w:jc w:val="center"/>
            </w:pPr>
            <w:r>
              <w:t>0</w:t>
            </w:r>
          </w:p>
        </w:tc>
        <w:tc>
          <w:tcPr>
            <w:tcW w:w="1813" w:type="dxa"/>
          </w:tcPr>
          <w:p w:rsidR="00525EEE" w:rsidRDefault="00525EEE" w:rsidP="00E518F8">
            <w:pPr>
              <w:jc w:val="center"/>
            </w:pPr>
          </w:p>
        </w:tc>
        <w:tc>
          <w:tcPr>
            <w:tcW w:w="1813" w:type="dxa"/>
          </w:tcPr>
          <w:p w:rsidR="00525EEE" w:rsidRDefault="00525EEE" w:rsidP="00E518F8">
            <w:pPr>
              <w:jc w:val="center"/>
            </w:pPr>
            <w:r>
              <w:t>0</w:t>
            </w:r>
          </w:p>
        </w:tc>
      </w:tr>
      <w:tr w:rsidR="008934CA" w:rsidTr="00E518F8">
        <w:tc>
          <w:tcPr>
            <w:tcW w:w="846" w:type="dxa"/>
          </w:tcPr>
          <w:p w:rsidR="008934CA" w:rsidRDefault="008934CA" w:rsidP="0056298C">
            <w:pPr>
              <w:jc w:val="both"/>
            </w:pPr>
            <w:r>
              <w:t>92212</w:t>
            </w:r>
          </w:p>
        </w:tc>
        <w:tc>
          <w:tcPr>
            <w:tcW w:w="2410" w:type="dxa"/>
          </w:tcPr>
          <w:p w:rsidR="008934CA" w:rsidRDefault="008934CA" w:rsidP="0056298C">
            <w:r>
              <w:t>Višak prihoda od nefinancijske imovine</w:t>
            </w:r>
            <w:r w:rsidR="00094A7D">
              <w:t xml:space="preserve"> - preneseni</w:t>
            </w:r>
          </w:p>
        </w:tc>
        <w:tc>
          <w:tcPr>
            <w:tcW w:w="2180" w:type="dxa"/>
          </w:tcPr>
          <w:p w:rsidR="008934CA" w:rsidRDefault="00094A7D" w:rsidP="00E518F8">
            <w:pPr>
              <w:jc w:val="center"/>
            </w:pPr>
            <w:r>
              <w:t>257.025</w:t>
            </w:r>
          </w:p>
        </w:tc>
        <w:tc>
          <w:tcPr>
            <w:tcW w:w="1813" w:type="dxa"/>
          </w:tcPr>
          <w:p w:rsidR="008934CA" w:rsidRDefault="008934CA" w:rsidP="00E518F8">
            <w:pPr>
              <w:jc w:val="center"/>
            </w:pPr>
          </w:p>
        </w:tc>
        <w:tc>
          <w:tcPr>
            <w:tcW w:w="1813" w:type="dxa"/>
          </w:tcPr>
          <w:p w:rsidR="008934CA" w:rsidRDefault="008934CA" w:rsidP="00E518F8">
            <w:pPr>
              <w:jc w:val="center"/>
            </w:pPr>
          </w:p>
        </w:tc>
      </w:tr>
      <w:tr w:rsidR="008934CA" w:rsidTr="00E518F8">
        <w:tc>
          <w:tcPr>
            <w:tcW w:w="846" w:type="dxa"/>
          </w:tcPr>
          <w:p w:rsidR="008934CA" w:rsidRDefault="008934CA" w:rsidP="00E518F8">
            <w:pPr>
              <w:jc w:val="both"/>
            </w:pPr>
            <w:r>
              <w:t>92213</w:t>
            </w:r>
          </w:p>
        </w:tc>
        <w:tc>
          <w:tcPr>
            <w:tcW w:w="2410" w:type="dxa"/>
          </w:tcPr>
          <w:p w:rsidR="008934CA" w:rsidRDefault="008934CA" w:rsidP="00E518F8">
            <w:r>
              <w:t>Višak primitaka od financijske imovine</w:t>
            </w:r>
          </w:p>
        </w:tc>
        <w:tc>
          <w:tcPr>
            <w:tcW w:w="2180" w:type="dxa"/>
          </w:tcPr>
          <w:p w:rsidR="008934CA" w:rsidRDefault="008934CA" w:rsidP="00E518F8">
            <w:pPr>
              <w:jc w:val="center"/>
            </w:pPr>
            <w:r>
              <w:t>0</w:t>
            </w:r>
          </w:p>
        </w:tc>
        <w:tc>
          <w:tcPr>
            <w:tcW w:w="1813" w:type="dxa"/>
          </w:tcPr>
          <w:p w:rsidR="008934CA" w:rsidRDefault="008934CA" w:rsidP="00E518F8">
            <w:pPr>
              <w:jc w:val="center"/>
            </w:pPr>
          </w:p>
        </w:tc>
        <w:tc>
          <w:tcPr>
            <w:tcW w:w="1813" w:type="dxa"/>
          </w:tcPr>
          <w:p w:rsidR="008934CA" w:rsidRDefault="008934CA" w:rsidP="00E518F8">
            <w:pPr>
              <w:jc w:val="center"/>
            </w:pPr>
            <w:r>
              <w:t>0</w:t>
            </w:r>
          </w:p>
        </w:tc>
      </w:tr>
      <w:tr w:rsidR="008934CA" w:rsidTr="00E518F8">
        <w:tc>
          <w:tcPr>
            <w:tcW w:w="846" w:type="dxa"/>
          </w:tcPr>
          <w:p w:rsidR="008934CA" w:rsidRDefault="008934CA" w:rsidP="00E518F8">
            <w:pPr>
              <w:jc w:val="both"/>
            </w:pPr>
            <w:r>
              <w:t>92221</w:t>
            </w:r>
          </w:p>
        </w:tc>
        <w:tc>
          <w:tcPr>
            <w:tcW w:w="2410" w:type="dxa"/>
          </w:tcPr>
          <w:p w:rsidR="008934CA" w:rsidRDefault="008934CA" w:rsidP="00E518F8">
            <w:r>
              <w:t>Manjak prihoda poslovanja</w:t>
            </w:r>
          </w:p>
        </w:tc>
        <w:tc>
          <w:tcPr>
            <w:tcW w:w="2180" w:type="dxa"/>
          </w:tcPr>
          <w:p w:rsidR="008934CA" w:rsidRDefault="008934CA" w:rsidP="00E518F8">
            <w:pPr>
              <w:jc w:val="center"/>
            </w:pPr>
            <w:r>
              <w:t>0</w:t>
            </w:r>
          </w:p>
        </w:tc>
        <w:tc>
          <w:tcPr>
            <w:tcW w:w="1813" w:type="dxa"/>
          </w:tcPr>
          <w:p w:rsidR="008934CA" w:rsidRDefault="008934CA" w:rsidP="00E518F8">
            <w:pPr>
              <w:jc w:val="center"/>
            </w:pPr>
          </w:p>
        </w:tc>
        <w:tc>
          <w:tcPr>
            <w:tcW w:w="1813" w:type="dxa"/>
          </w:tcPr>
          <w:p w:rsidR="008934CA" w:rsidRDefault="008934CA" w:rsidP="00E518F8">
            <w:pPr>
              <w:jc w:val="center"/>
            </w:pPr>
            <w:r>
              <w:t>0</w:t>
            </w:r>
          </w:p>
        </w:tc>
      </w:tr>
      <w:tr w:rsidR="008934CA" w:rsidTr="00E518F8">
        <w:tc>
          <w:tcPr>
            <w:tcW w:w="846" w:type="dxa"/>
          </w:tcPr>
          <w:p w:rsidR="008934CA" w:rsidRDefault="008934CA" w:rsidP="00E518F8">
            <w:pPr>
              <w:jc w:val="both"/>
            </w:pPr>
            <w:r>
              <w:t>92222</w:t>
            </w:r>
          </w:p>
        </w:tc>
        <w:tc>
          <w:tcPr>
            <w:tcW w:w="2410" w:type="dxa"/>
          </w:tcPr>
          <w:p w:rsidR="008934CA" w:rsidRDefault="008934CA" w:rsidP="00E518F8">
            <w:r>
              <w:t>Manjak prihoda od nefinancijske imovine</w:t>
            </w:r>
          </w:p>
        </w:tc>
        <w:tc>
          <w:tcPr>
            <w:tcW w:w="2180" w:type="dxa"/>
          </w:tcPr>
          <w:p w:rsidR="008934CA" w:rsidRDefault="008934CA" w:rsidP="00E518F8">
            <w:pPr>
              <w:jc w:val="center"/>
            </w:pPr>
            <w:r>
              <w:t>421.640</w:t>
            </w:r>
          </w:p>
        </w:tc>
        <w:tc>
          <w:tcPr>
            <w:tcW w:w="1813" w:type="dxa"/>
          </w:tcPr>
          <w:p w:rsidR="008934CA" w:rsidRDefault="00094A7D" w:rsidP="00E518F8">
            <w:pPr>
              <w:jc w:val="center"/>
            </w:pPr>
            <w:r>
              <w:t>+132.091</w:t>
            </w:r>
          </w:p>
        </w:tc>
        <w:tc>
          <w:tcPr>
            <w:tcW w:w="1813" w:type="dxa"/>
          </w:tcPr>
          <w:p w:rsidR="008934CA" w:rsidRDefault="008934CA" w:rsidP="00E518F8">
            <w:pPr>
              <w:jc w:val="center"/>
            </w:pPr>
            <w:r>
              <w:t>32.524</w:t>
            </w:r>
          </w:p>
        </w:tc>
      </w:tr>
      <w:tr w:rsidR="008934CA" w:rsidTr="00E518F8">
        <w:tc>
          <w:tcPr>
            <w:tcW w:w="846" w:type="dxa"/>
          </w:tcPr>
          <w:p w:rsidR="008934CA" w:rsidRDefault="008934CA" w:rsidP="00E518F8">
            <w:pPr>
              <w:jc w:val="both"/>
            </w:pPr>
            <w:r>
              <w:t>92223</w:t>
            </w:r>
          </w:p>
        </w:tc>
        <w:tc>
          <w:tcPr>
            <w:tcW w:w="2410" w:type="dxa"/>
          </w:tcPr>
          <w:p w:rsidR="008934CA" w:rsidRDefault="008934CA" w:rsidP="00E518F8">
            <w:r>
              <w:t>Manjak primitaka od financijske imovine</w:t>
            </w:r>
          </w:p>
        </w:tc>
        <w:tc>
          <w:tcPr>
            <w:tcW w:w="2180" w:type="dxa"/>
          </w:tcPr>
          <w:p w:rsidR="008934CA" w:rsidRDefault="008934CA" w:rsidP="00E518F8">
            <w:pPr>
              <w:jc w:val="center"/>
            </w:pPr>
            <w:r>
              <w:t>0</w:t>
            </w:r>
          </w:p>
        </w:tc>
        <w:tc>
          <w:tcPr>
            <w:tcW w:w="1813" w:type="dxa"/>
          </w:tcPr>
          <w:p w:rsidR="008934CA" w:rsidRDefault="008934CA" w:rsidP="00E518F8">
            <w:pPr>
              <w:jc w:val="center"/>
            </w:pPr>
          </w:p>
        </w:tc>
        <w:tc>
          <w:tcPr>
            <w:tcW w:w="1813" w:type="dxa"/>
          </w:tcPr>
          <w:p w:rsidR="008934CA" w:rsidRDefault="008934CA" w:rsidP="00E518F8">
            <w:pPr>
              <w:jc w:val="center"/>
            </w:pPr>
            <w:r>
              <w:t>0</w:t>
            </w:r>
          </w:p>
        </w:tc>
      </w:tr>
    </w:tbl>
    <w:p w:rsidR="00525EEE" w:rsidRDefault="00525EEE" w:rsidP="00525EEE">
      <w:pPr>
        <w:jc w:val="both"/>
      </w:pPr>
    </w:p>
    <w:p w:rsidR="00566387" w:rsidRDefault="00566387" w:rsidP="00525EEE">
      <w:pPr>
        <w:jc w:val="both"/>
      </w:pPr>
    </w:p>
    <w:p w:rsidR="00525EEE" w:rsidRDefault="00525EEE" w:rsidP="00525EEE">
      <w:pPr>
        <w:jc w:val="both"/>
      </w:pPr>
      <w:r>
        <w:t xml:space="preserve">U bilanci je provedena obvezna korekcija rezultata </w:t>
      </w:r>
      <w:r w:rsidR="00094A7D">
        <w:t xml:space="preserve">za kapitalni prijenos sredstava u ukupnom iznosu od 132.090,62 kn </w:t>
      </w:r>
      <w:r>
        <w:t>na način da su višak prihoda poslovanja i manjak prihoda od nefinancijske imovine korigirani za iznose:</w:t>
      </w:r>
    </w:p>
    <w:p w:rsidR="00094A7D" w:rsidRDefault="00094A7D" w:rsidP="00094A7D">
      <w:pPr>
        <w:pStyle w:val="ListParagraph"/>
        <w:numPr>
          <w:ilvl w:val="0"/>
          <w:numId w:val="1"/>
        </w:numPr>
        <w:jc w:val="both"/>
      </w:pPr>
      <w:r>
        <w:lastRenderedPageBreak/>
        <w:t>1.000,00 kn kapitalnih pomoći iz državnog proračuna, Ministarstva znanosti i obrazovanja, za nabavu računalnih licenci za opremanje učionice informatike</w:t>
      </w:r>
      <w:r w:rsidR="00FE79D0">
        <w:t>,</w:t>
      </w:r>
      <w:r>
        <w:t xml:space="preserve"> </w:t>
      </w:r>
    </w:p>
    <w:p w:rsidR="00094A7D" w:rsidRDefault="00094A7D" w:rsidP="00094A7D">
      <w:pPr>
        <w:pStyle w:val="ListParagraph"/>
        <w:numPr>
          <w:ilvl w:val="0"/>
          <w:numId w:val="1"/>
        </w:numPr>
        <w:jc w:val="both"/>
      </w:pPr>
      <w:r>
        <w:t>2.000,00 kn kapitalnih pomoći iz državnog proračuna, Ministarstva znanosti i obrazovanja, za opremanje školske knjižnice</w:t>
      </w:r>
      <w:r w:rsidR="00FE79D0">
        <w:t>,</w:t>
      </w:r>
    </w:p>
    <w:p w:rsidR="00094A7D" w:rsidRDefault="00094A7D" w:rsidP="00094A7D">
      <w:pPr>
        <w:pStyle w:val="ListParagraph"/>
        <w:numPr>
          <w:ilvl w:val="0"/>
          <w:numId w:val="1"/>
        </w:numPr>
        <w:jc w:val="both"/>
      </w:pPr>
      <w:r>
        <w:t>2.391,02 kn za kapitalnu pomoć TOŠ B.</w:t>
      </w:r>
      <w:r w:rsidR="003C09A1">
        <w:t xml:space="preserve"> </w:t>
      </w:r>
      <w:r>
        <w:t>Benussi Rovinj za nabavu računala i računalne opreme</w:t>
      </w:r>
      <w:r w:rsidR="00FE79D0">
        <w:t>,</w:t>
      </w:r>
      <w:r>
        <w:t xml:space="preserve"> </w:t>
      </w:r>
    </w:p>
    <w:p w:rsidR="00094A7D" w:rsidRDefault="00094A7D" w:rsidP="00094A7D">
      <w:pPr>
        <w:pStyle w:val="ListParagraph"/>
        <w:numPr>
          <w:ilvl w:val="0"/>
          <w:numId w:val="1"/>
        </w:numPr>
        <w:jc w:val="both"/>
      </w:pPr>
      <w:r>
        <w:t>7.000,00 kn prihoda Istarske županije za nabavu opreme za Zavičajnu nastavu</w:t>
      </w:r>
      <w:r w:rsidR="00FE79D0">
        <w:t>,</w:t>
      </w:r>
    </w:p>
    <w:p w:rsidR="00094A7D" w:rsidRDefault="00094A7D" w:rsidP="00094A7D">
      <w:pPr>
        <w:pStyle w:val="ListParagraph"/>
        <w:numPr>
          <w:ilvl w:val="0"/>
          <w:numId w:val="1"/>
        </w:numPr>
        <w:jc w:val="both"/>
      </w:pPr>
      <w:r>
        <w:t>97.875,00 kn prihoda Istarske županije</w:t>
      </w:r>
      <w:r w:rsidR="003C09A1">
        <w:t xml:space="preserve"> za</w:t>
      </w:r>
      <w:r>
        <w:t xml:space="preserve"> podmirenje troška priključenja na elektoenergetsku mrežu, za potrebe nadogradnje školske zgrade,</w:t>
      </w:r>
    </w:p>
    <w:p w:rsidR="00094A7D" w:rsidRDefault="00094A7D" w:rsidP="00094A7D">
      <w:pPr>
        <w:pStyle w:val="ListParagraph"/>
        <w:numPr>
          <w:ilvl w:val="0"/>
          <w:numId w:val="1"/>
        </w:numPr>
        <w:jc w:val="both"/>
      </w:pPr>
      <w:r>
        <w:t xml:space="preserve">21.824,60 kn prihoda Istarske županije </w:t>
      </w:r>
      <w:r w:rsidR="00FE79D0">
        <w:t>za ulaganje u zamjenu rasvjete, sanaciju sanitarnog čvora učenika i nabavu klima uređaja.</w:t>
      </w:r>
    </w:p>
    <w:p w:rsidR="00525EEE" w:rsidRDefault="00525EEE" w:rsidP="00525EEE">
      <w:pPr>
        <w:jc w:val="both"/>
      </w:pPr>
    </w:p>
    <w:p w:rsidR="000F255A" w:rsidRPr="000F255A" w:rsidRDefault="000F255A" w:rsidP="00525EEE">
      <w:pPr>
        <w:jc w:val="both"/>
        <w:rPr>
          <w:u w:val="single"/>
        </w:rPr>
      </w:pPr>
      <w:r w:rsidRPr="000F255A">
        <w:rPr>
          <w:u w:val="single"/>
        </w:rPr>
        <w:t>AOP 240 Obračunati prihodi poslovanja</w:t>
      </w:r>
    </w:p>
    <w:p w:rsidR="00FE79D0" w:rsidRDefault="00FE79D0" w:rsidP="00FE79D0">
      <w:pPr>
        <w:jc w:val="both"/>
      </w:pPr>
      <w:r>
        <w:t>Pozicija obuhvaća potraživanja za školsku marendu, produženi boravak i najam školske dvorane.</w:t>
      </w:r>
    </w:p>
    <w:p w:rsidR="000F255A" w:rsidRDefault="000F255A" w:rsidP="00525EEE">
      <w:pPr>
        <w:jc w:val="both"/>
      </w:pPr>
    </w:p>
    <w:p w:rsidR="000F255A" w:rsidRDefault="000F255A" w:rsidP="00525EEE">
      <w:pPr>
        <w:jc w:val="both"/>
      </w:pPr>
      <w:r>
        <w:t>NAPOMENA:</w:t>
      </w:r>
    </w:p>
    <w:p w:rsidR="00525EEE" w:rsidRPr="00932CC3" w:rsidRDefault="00525EEE" w:rsidP="00525EEE">
      <w:pPr>
        <w:jc w:val="both"/>
      </w:pPr>
      <w:r>
        <w:t>U bilančnoj i izvanbilančnim evidencijama nema evidentiranih zapisa o ugovornim odnosima</w:t>
      </w:r>
      <w:r w:rsidRPr="00932CC3">
        <w:t xml:space="preserve"> koji bi mogli postati obveza ili imovina, niti sudskih sporova u tijeku.</w:t>
      </w:r>
    </w:p>
    <w:p w:rsidR="00525EEE" w:rsidRDefault="00525EEE"/>
    <w:p w:rsidR="00404198" w:rsidRDefault="00404198">
      <w:pPr>
        <w:rPr>
          <w:b/>
        </w:rPr>
      </w:pPr>
    </w:p>
    <w:p w:rsidR="00A529AC" w:rsidRPr="00B9404F" w:rsidRDefault="00B9404F" w:rsidP="00B9404F">
      <w:pPr>
        <w:jc w:val="center"/>
        <w:rPr>
          <w:b/>
        </w:rPr>
      </w:pPr>
      <w:r w:rsidRPr="00B9404F">
        <w:rPr>
          <w:b/>
        </w:rPr>
        <w:t>Bilješke uz izvještaj o prihodima i rashodima, primicima i izdacima – Obrazac PR-RAS</w:t>
      </w:r>
    </w:p>
    <w:p w:rsidR="00B9404F" w:rsidRDefault="00B9404F"/>
    <w:p w:rsidR="000F255A" w:rsidRDefault="009D4C67" w:rsidP="009D4C67">
      <w:pPr>
        <w:ind w:left="708" w:hanging="708"/>
        <w:rPr>
          <w:u w:val="single"/>
        </w:rPr>
      </w:pPr>
      <w:r>
        <w:rPr>
          <w:u w:val="single"/>
        </w:rPr>
        <w:t>AOP 058 Tekuće pomoći od izvanproračunskih korisnika</w:t>
      </w:r>
    </w:p>
    <w:p w:rsidR="000F255A" w:rsidRPr="00FE79D0" w:rsidRDefault="00FE79D0">
      <w:r w:rsidRPr="00FE79D0">
        <w:t>Pozicija sadrži prihod Hrvatskog školskog sportskog saveza Istarske županije za organizaciju 2 školska turnira u stolnom tenisu.</w:t>
      </w:r>
    </w:p>
    <w:p w:rsidR="00FE79D0" w:rsidRDefault="00FE79D0">
      <w:pPr>
        <w:rPr>
          <w:u w:val="single"/>
        </w:rPr>
      </w:pPr>
    </w:p>
    <w:p w:rsidR="00A529AC" w:rsidRPr="00B969D9" w:rsidRDefault="005528BD">
      <w:pPr>
        <w:rPr>
          <w:u w:val="single"/>
        </w:rPr>
      </w:pPr>
      <w:r w:rsidRPr="00B969D9">
        <w:rPr>
          <w:u w:val="single"/>
        </w:rPr>
        <w:t>AOP 06</w:t>
      </w:r>
      <w:r w:rsidR="00B969D9" w:rsidRPr="00B969D9">
        <w:rPr>
          <w:u w:val="single"/>
        </w:rPr>
        <w:t>4</w:t>
      </w:r>
      <w:r w:rsidRPr="00B969D9">
        <w:rPr>
          <w:u w:val="single"/>
        </w:rPr>
        <w:t xml:space="preserve"> Tekuće pomoći proračunskim korisnicima iz proračuna koji im nije nadležan</w:t>
      </w:r>
    </w:p>
    <w:p w:rsidR="00A529AC" w:rsidRDefault="005528BD">
      <w:pPr>
        <w:jc w:val="both"/>
      </w:pPr>
      <w:r>
        <w:t xml:space="preserve">Pozicija </w:t>
      </w:r>
      <w:r w:rsidR="00B969D9">
        <w:t>obuhvaća</w:t>
      </w:r>
      <w:r>
        <w:t xml:space="preserve"> prihode iz proračuna Ministarstva znanosti </w:t>
      </w:r>
      <w:r w:rsidR="00FA5BE0">
        <w:t xml:space="preserve">i obrazovanja </w:t>
      </w:r>
      <w:r>
        <w:t>za plaće i naknade zaposlenika</w:t>
      </w:r>
      <w:r w:rsidR="0045716B">
        <w:t xml:space="preserve"> i podmirenje novčane naknade zbog neispunjenja kvote za zapošljavanje osoba s invaliditetom</w:t>
      </w:r>
      <w:r>
        <w:t xml:space="preserve"> te prihode iz proračuna Općine Kanfanar za plaću učitelja u produženom boravku, plaću učitelja za slobodne akt</w:t>
      </w:r>
      <w:r w:rsidR="00FA5BE0">
        <w:t xml:space="preserve">ivnosti iz područja informatike i robotike, </w:t>
      </w:r>
      <w:r>
        <w:t xml:space="preserve">sufinanciranje školske marende </w:t>
      </w:r>
      <w:r w:rsidR="00FA5BE0">
        <w:t>i prigodnih nagrada za učenike</w:t>
      </w:r>
      <w:r>
        <w:t>.</w:t>
      </w:r>
    </w:p>
    <w:p w:rsidR="00B969D9" w:rsidRDefault="00B969D9">
      <w:pPr>
        <w:jc w:val="both"/>
      </w:pPr>
    </w:p>
    <w:p w:rsidR="00B969D9" w:rsidRPr="00B969D9" w:rsidRDefault="00B969D9">
      <w:pPr>
        <w:jc w:val="both"/>
        <w:rPr>
          <w:u w:val="single"/>
        </w:rPr>
      </w:pPr>
      <w:r w:rsidRPr="00B969D9">
        <w:rPr>
          <w:u w:val="single"/>
        </w:rPr>
        <w:t>AOP 065 Kapitalne pomoći proračunskim korisnicima iz proračuna koji im nije nadležan</w:t>
      </w:r>
    </w:p>
    <w:p w:rsidR="00CE5FBA" w:rsidRDefault="00FE79D0">
      <w:pPr>
        <w:jc w:val="both"/>
      </w:pPr>
      <w:r>
        <w:t>Pozicija uključuje prihod od Ministarstva znanosti i obrazovanja za financiranje nabave knjiga za školsku knjižnicu i računalnih licenci te doniranu opremu TOŠ B. Benussi Rovinj.</w:t>
      </w:r>
    </w:p>
    <w:p w:rsidR="005C19F9" w:rsidRDefault="00FE79D0">
      <w:pPr>
        <w:jc w:val="both"/>
      </w:pPr>
      <w:r>
        <w:t xml:space="preserve"> </w:t>
      </w:r>
    </w:p>
    <w:p w:rsidR="005C19F9" w:rsidRPr="005C19F9" w:rsidRDefault="005C19F9">
      <w:pPr>
        <w:jc w:val="both"/>
        <w:rPr>
          <w:u w:val="single"/>
        </w:rPr>
      </w:pPr>
      <w:r w:rsidRPr="005C19F9">
        <w:rPr>
          <w:u w:val="single"/>
        </w:rPr>
        <w:t>AOP 067 Tekuće pomoći temeljem prijenosa EU sredstava</w:t>
      </w:r>
    </w:p>
    <w:p w:rsidR="00CE5FBA" w:rsidRDefault="00CE5FBA" w:rsidP="00CE5FBA">
      <w:pPr>
        <w:jc w:val="both"/>
      </w:pPr>
      <w:r>
        <w:t xml:space="preserve">Pozicija obuhvaća prihode po osnovi projekta Školske sheme – poticanje uvođenja voća, povrća, mlijeka i mliječnih proizvoda u školsku marendu. </w:t>
      </w:r>
    </w:p>
    <w:p w:rsidR="005C19F9" w:rsidRDefault="005C19F9">
      <w:pPr>
        <w:jc w:val="both"/>
      </w:pPr>
    </w:p>
    <w:p w:rsidR="005C19F9" w:rsidRPr="005C19F9" w:rsidRDefault="005C19F9">
      <w:pPr>
        <w:jc w:val="both"/>
        <w:rPr>
          <w:u w:val="single"/>
        </w:rPr>
      </w:pPr>
      <w:r w:rsidRPr="005C19F9">
        <w:rPr>
          <w:u w:val="single"/>
        </w:rPr>
        <w:t>AOP 116 Ostali nespomenuti prihodi</w:t>
      </w:r>
    </w:p>
    <w:p w:rsidR="005C19F9" w:rsidRDefault="005C19F9">
      <w:pPr>
        <w:jc w:val="both"/>
      </w:pPr>
      <w:r>
        <w:t xml:space="preserve">Pozicija obuhvaća prihode školske kuhinje od pružanja usluge prehrane </w:t>
      </w:r>
      <w:r w:rsidR="003C09A1">
        <w:t>učenicima</w:t>
      </w:r>
      <w:r>
        <w:t xml:space="preserve"> i prihod od produženog boravka.</w:t>
      </w:r>
      <w:r w:rsidR="0045716B">
        <w:t xml:space="preserve"> Sredstvima sufinanciranja cijene usluge školske kuhinje i produženog boravka financira se redovno poslovanje i nabava opreme za potrebe obavljanja osnovne djelatnosti i pružanja dodatnih usluga prehrane i produženog boravka učenicima.</w:t>
      </w:r>
      <w:r w:rsidR="00CE5FBA">
        <w:t xml:space="preserve"> Pozicija uključuje i prihod naknade štete na uredskoj opremi po osnovi osiguranja imovine.</w:t>
      </w:r>
    </w:p>
    <w:p w:rsidR="00A529AC" w:rsidRDefault="00A529AC">
      <w:pPr>
        <w:jc w:val="both"/>
      </w:pPr>
    </w:p>
    <w:p w:rsidR="00A529AC" w:rsidRPr="00710F03" w:rsidRDefault="005528BD">
      <w:pPr>
        <w:jc w:val="both"/>
        <w:rPr>
          <w:u w:val="single"/>
        </w:rPr>
      </w:pPr>
      <w:r w:rsidRPr="00710F03">
        <w:rPr>
          <w:u w:val="single"/>
        </w:rPr>
        <w:t>AOP 12</w:t>
      </w:r>
      <w:r w:rsidR="005C19F9" w:rsidRPr="00710F03">
        <w:rPr>
          <w:u w:val="single"/>
        </w:rPr>
        <w:t>6</w:t>
      </w:r>
      <w:r w:rsidRPr="00710F03">
        <w:rPr>
          <w:u w:val="single"/>
        </w:rPr>
        <w:t xml:space="preserve"> Prihodi od pruženih usluga</w:t>
      </w:r>
    </w:p>
    <w:p w:rsidR="00A529AC" w:rsidRDefault="009D4C67">
      <w:pPr>
        <w:jc w:val="both"/>
      </w:pPr>
      <w:r>
        <w:t>Tijekom 2018. godine nema evidentiranih prihoda od najma školske dvorane.</w:t>
      </w:r>
    </w:p>
    <w:p w:rsidR="00710F03" w:rsidRDefault="00710F03">
      <w:pPr>
        <w:jc w:val="both"/>
      </w:pPr>
    </w:p>
    <w:p w:rsidR="00566387" w:rsidRDefault="00566387">
      <w:pPr>
        <w:jc w:val="both"/>
        <w:rPr>
          <w:u w:val="single"/>
        </w:rPr>
      </w:pPr>
    </w:p>
    <w:p w:rsidR="00566387" w:rsidRDefault="00566387">
      <w:pPr>
        <w:jc w:val="both"/>
        <w:rPr>
          <w:u w:val="single"/>
        </w:rPr>
      </w:pPr>
    </w:p>
    <w:p w:rsidR="00710F03" w:rsidRPr="00710F03" w:rsidRDefault="00710F03">
      <w:pPr>
        <w:jc w:val="both"/>
        <w:rPr>
          <w:u w:val="single"/>
        </w:rPr>
      </w:pPr>
      <w:r w:rsidRPr="00710F03">
        <w:rPr>
          <w:u w:val="single"/>
        </w:rPr>
        <w:lastRenderedPageBreak/>
        <w:t>AOP 128 Tekuće donacije</w:t>
      </w:r>
    </w:p>
    <w:p w:rsidR="00710F03" w:rsidRDefault="00710F03">
      <w:pPr>
        <w:jc w:val="both"/>
      </w:pPr>
      <w:r>
        <w:t xml:space="preserve">Pozicija obuhvaća </w:t>
      </w:r>
      <w:r w:rsidR="00CE5FBA">
        <w:t xml:space="preserve">novčane donacije od </w:t>
      </w:r>
      <w:r>
        <w:t xml:space="preserve">strane fizičkih osoba </w:t>
      </w:r>
      <w:r w:rsidR="00387A56">
        <w:t xml:space="preserve">za </w:t>
      </w:r>
      <w:r w:rsidR="00CE5FBA">
        <w:t>Spomen knjigu</w:t>
      </w:r>
      <w:r>
        <w:t xml:space="preserve"> </w:t>
      </w:r>
      <w:r w:rsidR="00387A56">
        <w:t xml:space="preserve">tiskanu </w:t>
      </w:r>
      <w:r>
        <w:t xml:space="preserve">povodom 200. </w:t>
      </w:r>
      <w:r w:rsidR="00FA5BE0">
        <w:t>o</w:t>
      </w:r>
      <w:r>
        <w:t xml:space="preserve">bljetnice </w:t>
      </w:r>
      <w:r w:rsidR="00FA5BE0">
        <w:t>Š</w:t>
      </w:r>
      <w:r w:rsidR="00387A56">
        <w:t xml:space="preserve">kole i raspoređena sredstva solidarnosti Crvenog križa Rovinj. </w:t>
      </w:r>
      <w:r>
        <w:t xml:space="preserve"> </w:t>
      </w:r>
    </w:p>
    <w:p w:rsidR="00710F03" w:rsidRDefault="00710F03">
      <w:pPr>
        <w:jc w:val="both"/>
      </w:pPr>
    </w:p>
    <w:p w:rsidR="00710F03" w:rsidRPr="00710F03" w:rsidRDefault="00710F03">
      <w:pPr>
        <w:jc w:val="both"/>
        <w:rPr>
          <w:u w:val="single"/>
        </w:rPr>
      </w:pPr>
      <w:r w:rsidRPr="00710F03">
        <w:rPr>
          <w:u w:val="single"/>
        </w:rPr>
        <w:t>AOP 129 Kapitalne donacije</w:t>
      </w:r>
    </w:p>
    <w:p w:rsidR="00710F03" w:rsidRDefault="009D4C67">
      <w:pPr>
        <w:jc w:val="both"/>
      </w:pPr>
      <w:r>
        <w:t>Tijekom 2018. godine nije bilo kapitalnih donacija</w:t>
      </w:r>
      <w:r w:rsidR="00710F03">
        <w:t xml:space="preserve"> od strane subjekata izvan općeg proračuna.</w:t>
      </w:r>
    </w:p>
    <w:p w:rsidR="00A529AC" w:rsidRDefault="00A529AC">
      <w:pPr>
        <w:jc w:val="both"/>
      </w:pPr>
    </w:p>
    <w:p w:rsidR="00A529AC" w:rsidRPr="00710F03" w:rsidRDefault="005528BD">
      <w:pPr>
        <w:jc w:val="both"/>
        <w:rPr>
          <w:u w:val="single"/>
        </w:rPr>
      </w:pPr>
      <w:r w:rsidRPr="00710F03">
        <w:rPr>
          <w:u w:val="single"/>
        </w:rPr>
        <w:t>AOP 1</w:t>
      </w:r>
      <w:r w:rsidR="00710F03">
        <w:rPr>
          <w:u w:val="single"/>
        </w:rPr>
        <w:t>32</w:t>
      </w:r>
      <w:r w:rsidRPr="00710F03">
        <w:rPr>
          <w:u w:val="single"/>
        </w:rPr>
        <w:t xml:space="preserve"> Prihodi iz nadležnog proračuna za financiranje rashoda poslovanja</w:t>
      </w:r>
    </w:p>
    <w:p w:rsidR="00387A56" w:rsidRDefault="00387A56" w:rsidP="00387A56">
      <w:pPr>
        <w:jc w:val="both"/>
      </w:pPr>
      <w:r>
        <w:t xml:space="preserve">Pozicija obuhvaća prihode iz proračuna osnivača Istarske županije za financiranje redovne djelatnosti po minimalnom standardu iz decentraliziranih sredstava za osnovne škole, materijalnih rashoda po stvarnom trošku (redovni prijevoz učenika, obvezni zdravstveni pregledi zaposlenika, energenata i premija osiguranja imovine i zaposlenika), programa obrazovanja iznad standarda te tekućeg i investicijskog održavanja. </w:t>
      </w:r>
    </w:p>
    <w:p w:rsidR="00387A56" w:rsidRDefault="00387A56">
      <w:pPr>
        <w:jc w:val="both"/>
      </w:pPr>
    </w:p>
    <w:p w:rsidR="006A6D6E" w:rsidRDefault="00387A56" w:rsidP="006A6D6E">
      <w:pPr>
        <w:jc w:val="both"/>
      </w:pPr>
      <w:r>
        <w:t xml:space="preserve">Značajno </w:t>
      </w:r>
      <w:r w:rsidR="00DF342E">
        <w:t>manji</w:t>
      </w:r>
      <w:r>
        <w:t xml:space="preserve"> prihod u 201</w:t>
      </w:r>
      <w:r w:rsidR="00DF342E">
        <w:t>8</w:t>
      </w:r>
      <w:r>
        <w:t xml:space="preserve">. godini </w:t>
      </w:r>
      <w:r w:rsidR="006A6D6E">
        <w:t xml:space="preserve">proizlazi iz </w:t>
      </w:r>
      <w:r w:rsidR="00DF342E">
        <w:t xml:space="preserve">prošlogodišnjeg </w:t>
      </w:r>
      <w:r w:rsidR="00980CAC">
        <w:t xml:space="preserve">investicijskog </w:t>
      </w:r>
      <w:r w:rsidR="006A6D6E">
        <w:t xml:space="preserve">ulaganja u </w:t>
      </w:r>
      <w:r w:rsidR="00980CAC">
        <w:t>rekonstrukciju krova područne škole u Sošićima, rekonstrukciju vodovodnog priključka i unutarnje hidrantske mreže, uvođen</w:t>
      </w:r>
      <w:r w:rsidR="00FA5BE0">
        <w:t>j</w:t>
      </w:r>
      <w:r w:rsidR="00980CAC">
        <w:t>e tople vode u sanitarni čvor</w:t>
      </w:r>
      <w:r w:rsidR="00FA5BE0">
        <w:t>, sanacij</w:t>
      </w:r>
      <w:r w:rsidR="00980CAC">
        <w:t>u ekspanzijske posude za centralno grijanje i premještanje isključnog tipkala u matičnoj školi u Kanfanaru.</w:t>
      </w:r>
    </w:p>
    <w:p w:rsidR="00980CAC" w:rsidRDefault="00980CAC" w:rsidP="006A6D6E">
      <w:pPr>
        <w:jc w:val="both"/>
      </w:pPr>
    </w:p>
    <w:p w:rsidR="00980CAC" w:rsidRDefault="00980CAC" w:rsidP="006A6D6E">
      <w:pPr>
        <w:jc w:val="both"/>
        <w:rPr>
          <w:u w:val="single"/>
        </w:rPr>
      </w:pPr>
      <w:r w:rsidRPr="0000780C">
        <w:rPr>
          <w:u w:val="single"/>
        </w:rPr>
        <w:t>AOP 133 Prihodi iz nadležnog proračuna za financiranje rashoda za nabavu nefinancijske imovine</w:t>
      </w:r>
    </w:p>
    <w:p w:rsidR="00387A56" w:rsidRPr="00387A56" w:rsidRDefault="00387A56" w:rsidP="006A6D6E">
      <w:pPr>
        <w:jc w:val="both"/>
      </w:pPr>
      <w:r w:rsidRPr="00387A56">
        <w:t>Pozicija obuhvaća:</w:t>
      </w:r>
    </w:p>
    <w:p w:rsidR="00387A56" w:rsidRDefault="00387A56" w:rsidP="00387A56">
      <w:pPr>
        <w:pStyle w:val="ListParagraph"/>
        <w:numPr>
          <w:ilvl w:val="0"/>
          <w:numId w:val="1"/>
        </w:numPr>
        <w:jc w:val="both"/>
      </w:pPr>
      <w:r>
        <w:t>7.000,00 kn prihoda Istarske županije za nabavu opreme za Zavičajnu nastavu,</w:t>
      </w:r>
    </w:p>
    <w:p w:rsidR="00387A56" w:rsidRDefault="00387A56" w:rsidP="00387A56">
      <w:pPr>
        <w:pStyle w:val="ListParagraph"/>
        <w:numPr>
          <w:ilvl w:val="0"/>
          <w:numId w:val="1"/>
        </w:numPr>
        <w:jc w:val="both"/>
      </w:pPr>
      <w:r>
        <w:t>97.875,00 kn prihoda Istarske županije podmirenje troška priključenja na elektoenergetsku mrežu, za potrebe nadogradnje školske zgrade,</w:t>
      </w:r>
    </w:p>
    <w:p w:rsidR="00387A56" w:rsidRDefault="00387A56" w:rsidP="00387A56">
      <w:pPr>
        <w:pStyle w:val="ListParagraph"/>
        <w:numPr>
          <w:ilvl w:val="0"/>
          <w:numId w:val="1"/>
        </w:numPr>
        <w:jc w:val="both"/>
      </w:pPr>
      <w:r>
        <w:t>21.824,60 kn prihoda Istarske županije za ulaganje u zamjenu rasvjete, sanaciju sanitarnog čvora učenika i nabavu klima uređaja.</w:t>
      </w:r>
    </w:p>
    <w:p w:rsidR="00495C2E" w:rsidRDefault="00495C2E" w:rsidP="006A6D6E">
      <w:pPr>
        <w:jc w:val="both"/>
      </w:pPr>
    </w:p>
    <w:p w:rsidR="00387A56" w:rsidRPr="00495C2E" w:rsidRDefault="00387A56" w:rsidP="00387A56">
      <w:pPr>
        <w:jc w:val="both"/>
        <w:rPr>
          <w:u w:val="single"/>
        </w:rPr>
      </w:pPr>
      <w:r w:rsidRPr="00495C2E">
        <w:rPr>
          <w:u w:val="single"/>
        </w:rPr>
        <w:t>AOP 150 Plaće (bruto)</w:t>
      </w:r>
    </w:p>
    <w:p w:rsidR="00387A56" w:rsidRDefault="00387A56" w:rsidP="00387A56">
      <w:pPr>
        <w:jc w:val="both"/>
      </w:pPr>
      <w:r>
        <w:t>Pozicija bilježi porast radi povećanja rashoda za zaposlene koji proizlaz</w:t>
      </w:r>
      <w:r w:rsidR="00FB57EA">
        <w:t>e iz</w:t>
      </w:r>
      <w:r>
        <w:t xml:space="preserve"> promjena odredbi Kolektivnog ugovora. </w:t>
      </w:r>
    </w:p>
    <w:p w:rsidR="009D4C67" w:rsidRDefault="009D4C67" w:rsidP="006A6D6E">
      <w:pPr>
        <w:jc w:val="both"/>
      </w:pPr>
    </w:p>
    <w:p w:rsidR="009D4C67" w:rsidRPr="009D4C67" w:rsidRDefault="009D4C67" w:rsidP="006A6D6E">
      <w:pPr>
        <w:jc w:val="both"/>
        <w:rPr>
          <w:u w:val="single"/>
        </w:rPr>
      </w:pPr>
      <w:r w:rsidRPr="009D4C67">
        <w:rPr>
          <w:u w:val="single"/>
        </w:rPr>
        <w:t>AOP 153 Plaće za prekovremeni rad</w:t>
      </w:r>
    </w:p>
    <w:p w:rsidR="009D4C67" w:rsidRDefault="00FB57EA" w:rsidP="006A6D6E">
      <w:pPr>
        <w:jc w:val="both"/>
      </w:pPr>
      <w:r>
        <w:t>Pozicija bilježi s</w:t>
      </w:r>
      <w:r w:rsidR="009D4C67">
        <w:t>manjenje rashoda radi zapošljavanja učitelja za potrebe zamjene učitelja na satovima redovne nastave.</w:t>
      </w:r>
    </w:p>
    <w:p w:rsidR="009D4C67" w:rsidRDefault="009D4C67" w:rsidP="006A6D6E">
      <w:pPr>
        <w:jc w:val="both"/>
      </w:pPr>
    </w:p>
    <w:p w:rsidR="009D4C67" w:rsidRPr="009D4C67" w:rsidRDefault="009D4C67" w:rsidP="006A6D6E">
      <w:pPr>
        <w:jc w:val="both"/>
        <w:rPr>
          <w:u w:val="single"/>
        </w:rPr>
      </w:pPr>
      <w:r w:rsidRPr="009D4C67">
        <w:rPr>
          <w:u w:val="single"/>
        </w:rPr>
        <w:t xml:space="preserve">AOP 155 Ostali rashodi za zaposlene </w:t>
      </w:r>
    </w:p>
    <w:p w:rsidR="009D4C67" w:rsidRDefault="009D4C67" w:rsidP="006A6D6E">
      <w:pPr>
        <w:jc w:val="both"/>
      </w:pPr>
      <w:r>
        <w:t xml:space="preserve">Smanjenje rashoda sukladno broju zaposlenika koji </w:t>
      </w:r>
      <w:r w:rsidR="00495C2E">
        <w:t>su tijekom 2018. ostvarili pravo</w:t>
      </w:r>
      <w:r>
        <w:t xml:space="preserve"> na otpremninu, jubilarnu </w:t>
      </w:r>
      <w:r w:rsidR="00495C2E">
        <w:t>nagradu, pomoć i sl. materijalna prava u skladu sa zakonskim odredbama.</w:t>
      </w:r>
    </w:p>
    <w:p w:rsidR="009D4C67" w:rsidRDefault="009D4C67" w:rsidP="006A6D6E">
      <w:pPr>
        <w:jc w:val="both"/>
      </w:pPr>
    </w:p>
    <w:p w:rsidR="00495C2E" w:rsidRPr="00495C2E" w:rsidRDefault="00495C2E" w:rsidP="006A6D6E">
      <w:pPr>
        <w:jc w:val="both"/>
        <w:rPr>
          <w:u w:val="single"/>
        </w:rPr>
      </w:pPr>
      <w:r w:rsidRPr="00495C2E">
        <w:rPr>
          <w:u w:val="single"/>
        </w:rPr>
        <w:t>AOP 162 Službena putovanja</w:t>
      </w:r>
    </w:p>
    <w:p w:rsidR="00495C2E" w:rsidRDefault="00495C2E" w:rsidP="006A6D6E">
      <w:pPr>
        <w:jc w:val="both"/>
      </w:pPr>
      <w:r>
        <w:t>Smanjenje rashoda radi jasnije propisanog prava na oporezivu dnevnicu učitelja tijekom pratnje učenika na terenskoj nastavi.</w:t>
      </w:r>
    </w:p>
    <w:p w:rsidR="00495C2E" w:rsidRDefault="00495C2E" w:rsidP="006A6D6E">
      <w:pPr>
        <w:jc w:val="both"/>
      </w:pPr>
    </w:p>
    <w:p w:rsidR="00495C2E" w:rsidRPr="00495C2E" w:rsidRDefault="00495C2E" w:rsidP="006A6D6E">
      <w:pPr>
        <w:jc w:val="both"/>
        <w:rPr>
          <w:u w:val="single"/>
        </w:rPr>
      </w:pPr>
      <w:r w:rsidRPr="00495C2E">
        <w:rPr>
          <w:u w:val="single"/>
        </w:rPr>
        <w:t>AOP 170 Materijal i dijelovi za tekuće i investicijsko održavanje</w:t>
      </w:r>
    </w:p>
    <w:p w:rsidR="00495C2E" w:rsidRDefault="00495C2E" w:rsidP="006A6D6E">
      <w:pPr>
        <w:jc w:val="both"/>
      </w:pPr>
      <w:r>
        <w:t xml:space="preserve">Povećanje rashoda uslijed ulaganja u tekuće održavanje matične školske zgrade i zgrade područne škole u Sošićima te pripadajući okoliš, radi podizanja kvalitete </w:t>
      </w:r>
      <w:r w:rsidR="00A556A3">
        <w:t>rada i sigurnosti boravka učenika u školi.</w:t>
      </w:r>
    </w:p>
    <w:p w:rsidR="00A556A3" w:rsidRDefault="00A556A3" w:rsidP="006A6D6E">
      <w:pPr>
        <w:jc w:val="both"/>
      </w:pPr>
    </w:p>
    <w:p w:rsidR="00A556A3" w:rsidRPr="00A556A3" w:rsidRDefault="00A556A3" w:rsidP="006A6D6E">
      <w:pPr>
        <w:jc w:val="both"/>
        <w:rPr>
          <w:u w:val="single"/>
        </w:rPr>
      </w:pPr>
      <w:r w:rsidRPr="00A556A3">
        <w:rPr>
          <w:u w:val="single"/>
        </w:rPr>
        <w:t>AOP 171 Sitni inventar</w:t>
      </w:r>
      <w:r w:rsidR="00FB57EA">
        <w:rPr>
          <w:u w:val="single"/>
        </w:rPr>
        <w:t xml:space="preserve"> i AOP173 Radna odjeća</w:t>
      </w:r>
    </w:p>
    <w:p w:rsidR="00495C2E" w:rsidRDefault="00A556A3" w:rsidP="006A6D6E">
      <w:pPr>
        <w:jc w:val="both"/>
      </w:pPr>
      <w:r>
        <w:t xml:space="preserve">Smanjenje rashoda radi prilagodbe raspoloživim sredstvima. Nabavljen je neophodan inventar za potrebe školske kuhinje, radi udovoljavanja </w:t>
      </w:r>
      <w:r w:rsidR="00FB57EA">
        <w:t xml:space="preserve">osnovnim sanitarnim standardima, inventar za održavanje okoliša i ostali osnovni sitni inventar za redovno odvijanje nastave i ostalih </w:t>
      </w:r>
      <w:r w:rsidR="00FB57EA">
        <w:lastRenderedPageBreak/>
        <w:t>školskih aktivnosti.</w:t>
      </w:r>
      <w:r>
        <w:t xml:space="preserve"> </w:t>
      </w:r>
      <w:r w:rsidR="00FB57EA">
        <w:t>Nabavljena je radna obuća za pomoćno osoblje i trenirka za učitelja tjelesnog odgoja.</w:t>
      </w:r>
    </w:p>
    <w:p w:rsidR="00A556A3" w:rsidRDefault="00A556A3" w:rsidP="006A6D6E">
      <w:pPr>
        <w:jc w:val="both"/>
      </w:pPr>
    </w:p>
    <w:p w:rsidR="0000780C" w:rsidRPr="0000780C" w:rsidRDefault="0000780C" w:rsidP="006A6D6E">
      <w:pPr>
        <w:jc w:val="both"/>
        <w:rPr>
          <w:u w:val="single"/>
        </w:rPr>
      </w:pPr>
      <w:r w:rsidRPr="0000780C">
        <w:rPr>
          <w:u w:val="single"/>
        </w:rPr>
        <w:t xml:space="preserve">AOP 176 Usluge tekućeg i investicijskog održavanja </w:t>
      </w:r>
    </w:p>
    <w:p w:rsidR="00FB57EA" w:rsidRDefault="00FB57EA" w:rsidP="00FB57EA">
      <w:pPr>
        <w:jc w:val="both"/>
      </w:pPr>
      <w:r>
        <w:t>Značaj</w:t>
      </w:r>
      <w:r w:rsidR="00DF342E">
        <w:t>no manji trošak u odnosu na 2017</w:t>
      </w:r>
      <w:r>
        <w:t>. godinu proizlazi iz prošlogodišnjeg investicijskog ulaganja u rekonstrukciju krova područne škole u Sošićima, rekonstrukciju vodovodnog priključka i unutarnje hidrantske mreže, uvođenje tople vode u sanitarni čvor, sanaciju ekspanzijske posude za centralno grijanje i premještanje isključnog tipkala u matičnoj školi u Kanfanaru.</w:t>
      </w:r>
    </w:p>
    <w:p w:rsidR="00AA0196" w:rsidRDefault="00AA0196" w:rsidP="00FB57EA">
      <w:pPr>
        <w:jc w:val="both"/>
      </w:pPr>
    </w:p>
    <w:p w:rsidR="00AA0196" w:rsidRPr="00AA0196" w:rsidRDefault="00AA0196" w:rsidP="00FB57EA">
      <w:pPr>
        <w:jc w:val="both"/>
        <w:rPr>
          <w:u w:val="single"/>
        </w:rPr>
      </w:pPr>
      <w:r w:rsidRPr="00AA0196">
        <w:rPr>
          <w:u w:val="single"/>
        </w:rPr>
        <w:t>AOP 175 Usluge telefona, pošte i prijevoza</w:t>
      </w:r>
    </w:p>
    <w:p w:rsidR="00AA0196" w:rsidRDefault="00AA0196" w:rsidP="00FB57EA">
      <w:pPr>
        <w:jc w:val="both"/>
      </w:pPr>
      <w:r>
        <w:t>Pozicija bilježi smanjenje radi manjeg troška telefona i prijevoza.</w:t>
      </w:r>
    </w:p>
    <w:p w:rsidR="00A556A3" w:rsidRDefault="00A556A3" w:rsidP="006A6D6E">
      <w:pPr>
        <w:jc w:val="both"/>
      </w:pPr>
    </w:p>
    <w:p w:rsidR="00A556A3" w:rsidRPr="00A556A3" w:rsidRDefault="00A556A3" w:rsidP="006A6D6E">
      <w:pPr>
        <w:jc w:val="both"/>
        <w:rPr>
          <w:u w:val="single"/>
        </w:rPr>
      </w:pPr>
      <w:r w:rsidRPr="00A556A3">
        <w:rPr>
          <w:u w:val="single"/>
        </w:rPr>
        <w:t>AOP 177 Usluge promidžbe i informiranja</w:t>
      </w:r>
    </w:p>
    <w:p w:rsidR="00A556A3" w:rsidRDefault="00A556A3" w:rsidP="006A6D6E">
      <w:pPr>
        <w:jc w:val="both"/>
      </w:pPr>
      <w:r>
        <w:t>Rashod se odnosi na oglašavanje natječaja za ravnatelja u javnim glasilima, sukladno zakonskoj obvezi.</w:t>
      </w:r>
    </w:p>
    <w:p w:rsidR="00A556A3" w:rsidRDefault="00A556A3" w:rsidP="006A6D6E">
      <w:pPr>
        <w:jc w:val="both"/>
      </w:pPr>
    </w:p>
    <w:p w:rsidR="00A556A3" w:rsidRPr="00AA0196" w:rsidRDefault="00A556A3" w:rsidP="006A6D6E">
      <w:pPr>
        <w:jc w:val="both"/>
        <w:rPr>
          <w:u w:val="single"/>
        </w:rPr>
      </w:pPr>
      <w:r w:rsidRPr="00AA0196">
        <w:rPr>
          <w:u w:val="single"/>
        </w:rPr>
        <w:t>AOP 178 Komunalne usluge</w:t>
      </w:r>
    </w:p>
    <w:p w:rsidR="00A556A3" w:rsidRDefault="00AA0196" w:rsidP="006A6D6E">
      <w:pPr>
        <w:jc w:val="both"/>
      </w:pPr>
      <w:r>
        <w:t>Pozicija bilježi p</w:t>
      </w:r>
      <w:r w:rsidR="00A556A3">
        <w:t xml:space="preserve">ovećanje radi </w:t>
      </w:r>
      <w:r>
        <w:t>porasta troška pražnjenja septičke jame.</w:t>
      </w:r>
    </w:p>
    <w:p w:rsidR="00A556A3" w:rsidRDefault="00A556A3" w:rsidP="006A6D6E">
      <w:pPr>
        <w:jc w:val="both"/>
      </w:pPr>
    </w:p>
    <w:p w:rsidR="00A556A3" w:rsidRPr="00A556A3" w:rsidRDefault="00A556A3" w:rsidP="006A6D6E">
      <w:pPr>
        <w:jc w:val="both"/>
        <w:rPr>
          <w:u w:val="single"/>
        </w:rPr>
      </w:pPr>
      <w:r w:rsidRPr="00A556A3">
        <w:rPr>
          <w:u w:val="single"/>
        </w:rPr>
        <w:t>AOP 179 Zakupnine i najamnine</w:t>
      </w:r>
    </w:p>
    <w:p w:rsidR="00A556A3" w:rsidRDefault="00A556A3" w:rsidP="006A6D6E">
      <w:pPr>
        <w:jc w:val="both"/>
      </w:pPr>
      <w:r>
        <w:t xml:space="preserve">Pozicija obuhvaća </w:t>
      </w:r>
      <w:r w:rsidR="00AA0196">
        <w:t>trošak</w:t>
      </w:r>
      <w:r>
        <w:t xml:space="preserve"> najma spremnika plina za potrebe školske kuhinje.</w:t>
      </w:r>
    </w:p>
    <w:p w:rsidR="004278D8" w:rsidRDefault="004278D8" w:rsidP="006A6D6E">
      <w:pPr>
        <w:jc w:val="both"/>
      </w:pPr>
    </w:p>
    <w:p w:rsidR="004278D8" w:rsidRPr="004278D8" w:rsidRDefault="004278D8" w:rsidP="006A6D6E">
      <w:pPr>
        <w:jc w:val="both"/>
        <w:rPr>
          <w:u w:val="single"/>
        </w:rPr>
      </w:pPr>
      <w:r w:rsidRPr="004278D8">
        <w:rPr>
          <w:u w:val="single"/>
        </w:rPr>
        <w:t>AOP 180 Zdravstvene usluge</w:t>
      </w:r>
    </w:p>
    <w:p w:rsidR="004278D8" w:rsidRDefault="004278D8" w:rsidP="006A6D6E">
      <w:pPr>
        <w:jc w:val="both"/>
      </w:pPr>
      <w:r>
        <w:t xml:space="preserve">Pozicija obuhvaća godišnje sistematske preglede zaposlenika prema pravima iz Kolektivnog ugovora i obvezne periodične preglede </w:t>
      </w:r>
      <w:r w:rsidR="00AA0196">
        <w:t>pomoćnog osoblja.</w:t>
      </w:r>
    </w:p>
    <w:p w:rsidR="004278D8" w:rsidRDefault="004278D8" w:rsidP="006A6D6E">
      <w:pPr>
        <w:jc w:val="both"/>
      </w:pPr>
    </w:p>
    <w:p w:rsidR="004278D8" w:rsidRPr="004278D8" w:rsidRDefault="004278D8" w:rsidP="006A6D6E">
      <w:pPr>
        <w:jc w:val="both"/>
        <w:rPr>
          <w:u w:val="single"/>
        </w:rPr>
      </w:pPr>
      <w:r w:rsidRPr="004278D8">
        <w:rPr>
          <w:u w:val="single"/>
        </w:rPr>
        <w:t>AOP 181 Intelektualne usluge</w:t>
      </w:r>
    </w:p>
    <w:p w:rsidR="00AA0196" w:rsidRDefault="00AA0196" w:rsidP="00AA0196">
      <w:pPr>
        <w:jc w:val="both"/>
      </w:pPr>
      <w:r>
        <w:t>Značajnije povećanje rashoda tijekom 2018. godine odnosi se na odvjetničke usluge za potrebe provedbe Zakona o zaštiti osobnih podataka. Pozicija uključuje i trošak vanjskog povjerenika za zaštitu od požara.</w:t>
      </w:r>
    </w:p>
    <w:p w:rsidR="004278D8" w:rsidRDefault="004278D8" w:rsidP="006A6D6E">
      <w:pPr>
        <w:jc w:val="both"/>
      </w:pPr>
    </w:p>
    <w:p w:rsidR="004278D8" w:rsidRPr="004278D8" w:rsidRDefault="004278D8" w:rsidP="006A6D6E">
      <w:pPr>
        <w:jc w:val="both"/>
        <w:rPr>
          <w:u w:val="single"/>
        </w:rPr>
      </w:pPr>
      <w:r w:rsidRPr="004278D8">
        <w:rPr>
          <w:u w:val="single"/>
        </w:rPr>
        <w:t>AOP 182 Računalne usluge</w:t>
      </w:r>
    </w:p>
    <w:p w:rsidR="004278D8" w:rsidRDefault="004278D8" w:rsidP="006A6D6E">
      <w:pPr>
        <w:jc w:val="both"/>
      </w:pPr>
      <w:r>
        <w:t xml:space="preserve">Pozicija </w:t>
      </w:r>
      <w:r w:rsidR="005C1694">
        <w:t>uključuje</w:t>
      </w:r>
      <w:r>
        <w:t xml:space="preserve"> trošak programa za računovodstvo, tajništvo i školsku knjižnicu </w:t>
      </w:r>
      <w:r w:rsidR="005C1694">
        <w:t xml:space="preserve">te </w:t>
      </w:r>
      <w:r>
        <w:t>uslug</w:t>
      </w:r>
      <w:r w:rsidR="005C1694">
        <w:t>u</w:t>
      </w:r>
      <w:r>
        <w:t xml:space="preserve"> održavanja </w:t>
      </w:r>
      <w:r w:rsidR="005C1694">
        <w:t>računalne opreme i programa</w:t>
      </w:r>
      <w:r>
        <w:t xml:space="preserve"> na daljinu.</w:t>
      </w:r>
    </w:p>
    <w:p w:rsidR="004278D8" w:rsidRDefault="004278D8" w:rsidP="006A6D6E">
      <w:pPr>
        <w:jc w:val="both"/>
      </w:pPr>
    </w:p>
    <w:p w:rsidR="004278D8" w:rsidRPr="004278D8" w:rsidRDefault="004278D8" w:rsidP="006A6D6E">
      <w:pPr>
        <w:jc w:val="both"/>
        <w:rPr>
          <w:u w:val="single"/>
        </w:rPr>
      </w:pPr>
      <w:r w:rsidRPr="004278D8">
        <w:rPr>
          <w:u w:val="single"/>
        </w:rPr>
        <w:t>AOP</w:t>
      </w:r>
      <w:r w:rsidR="00DF342E">
        <w:rPr>
          <w:u w:val="single"/>
        </w:rPr>
        <w:t xml:space="preserve"> </w:t>
      </w:r>
      <w:r w:rsidRPr="004278D8">
        <w:rPr>
          <w:u w:val="single"/>
        </w:rPr>
        <w:t>187 Premije osiguranja</w:t>
      </w:r>
    </w:p>
    <w:p w:rsidR="004278D8" w:rsidRDefault="004278D8" w:rsidP="00D726C3">
      <w:pPr>
        <w:jc w:val="both"/>
      </w:pPr>
      <w:r>
        <w:t>Pozicija obuhvaća trošak premije osiguranja imovine i zaposlenika</w:t>
      </w:r>
      <w:r w:rsidR="00DF342E">
        <w:t xml:space="preserve"> koje</w:t>
      </w:r>
      <w:r w:rsidR="00D726C3">
        <w:t xml:space="preserve"> prema zakonskoj obvezi financira osnivač Istarska županija. Do smanjenja rashoda došlo je radi revidiranja vrijednosti imovine koja služi kao osnovica za izračun vrijednosti premija osiguranja,</w:t>
      </w:r>
      <w:r w:rsidR="00D726C3" w:rsidRPr="00D726C3">
        <w:t xml:space="preserve"> </w:t>
      </w:r>
      <w:r w:rsidR="00D726C3">
        <w:t>sukladno vrijednostima iz analitičke evidencije osnovnih sredstava.</w:t>
      </w:r>
    </w:p>
    <w:p w:rsidR="00D726C3" w:rsidRDefault="00D726C3" w:rsidP="00D726C3">
      <w:pPr>
        <w:jc w:val="both"/>
      </w:pPr>
    </w:p>
    <w:p w:rsidR="00D726C3" w:rsidRPr="00D726C3" w:rsidRDefault="00D726C3" w:rsidP="00D726C3">
      <w:pPr>
        <w:jc w:val="both"/>
        <w:rPr>
          <w:u w:val="single"/>
        </w:rPr>
      </w:pPr>
      <w:r w:rsidRPr="00D726C3">
        <w:rPr>
          <w:u w:val="single"/>
        </w:rPr>
        <w:t>AOP 189 Članarine</w:t>
      </w:r>
    </w:p>
    <w:p w:rsidR="00D726C3" w:rsidRDefault="00D726C3" w:rsidP="00D726C3">
      <w:pPr>
        <w:jc w:val="both"/>
      </w:pPr>
      <w:r>
        <w:t>Pozicija obuhvaća godišnje članarine strukovnim udruženjima:</w:t>
      </w:r>
      <w:r w:rsidR="005C1694">
        <w:t xml:space="preserve"> HUROŠ, HZOŠ, HMŠK i UTIRUŠ.</w:t>
      </w:r>
    </w:p>
    <w:p w:rsidR="00D726C3" w:rsidRDefault="00D726C3" w:rsidP="00D726C3">
      <w:pPr>
        <w:jc w:val="both"/>
      </w:pPr>
    </w:p>
    <w:p w:rsidR="00D726C3" w:rsidRPr="00D726C3" w:rsidRDefault="00D726C3" w:rsidP="00D726C3">
      <w:pPr>
        <w:jc w:val="both"/>
        <w:rPr>
          <w:u w:val="single"/>
        </w:rPr>
      </w:pPr>
      <w:r w:rsidRPr="00D726C3">
        <w:rPr>
          <w:u w:val="single"/>
        </w:rPr>
        <w:t>AOP 190 Pristojbe i naknade</w:t>
      </w:r>
    </w:p>
    <w:p w:rsidR="00D726C3" w:rsidRDefault="00D726C3" w:rsidP="00D726C3">
      <w:pPr>
        <w:jc w:val="both"/>
      </w:pPr>
      <w:r>
        <w:t xml:space="preserve">Pozicija </w:t>
      </w:r>
      <w:r w:rsidR="005C1694">
        <w:t xml:space="preserve">primarno </w:t>
      </w:r>
      <w:r>
        <w:t xml:space="preserve">obuhvaća trošak naknade radi </w:t>
      </w:r>
      <w:r w:rsidR="005C1694">
        <w:t xml:space="preserve">neispunjenja kvote </w:t>
      </w:r>
      <w:r>
        <w:t>zapošljavanja osoba s invaliditetom</w:t>
      </w:r>
      <w:r w:rsidR="005C1694">
        <w:t xml:space="preserve"> te javnobilježničke pristojbe za potrebe upisa promjene ravnatelja u sudski registar.</w:t>
      </w:r>
    </w:p>
    <w:p w:rsidR="004278D8" w:rsidRDefault="004278D8" w:rsidP="006A6D6E">
      <w:pPr>
        <w:jc w:val="both"/>
      </w:pPr>
    </w:p>
    <w:p w:rsidR="00D726C3" w:rsidRPr="0095780A" w:rsidRDefault="00D726C3" w:rsidP="006A6D6E">
      <w:pPr>
        <w:jc w:val="both"/>
        <w:rPr>
          <w:u w:val="single"/>
        </w:rPr>
      </w:pPr>
      <w:r w:rsidRPr="0095780A">
        <w:rPr>
          <w:u w:val="single"/>
        </w:rPr>
        <w:t>AOP 208 Bankarske usluge</w:t>
      </w:r>
    </w:p>
    <w:p w:rsidR="00D726C3" w:rsidRDefault="00D726C3" w:rsidP="006A6D6E">
      <w:pPr>
        <w:jc w:val="both"/>
      </w:pPr>
      <w:r>
        <w:t xml:space="preserve">Pozicija obuhvaća trošak održavanja žiro računa i </w:t>
      </w:r>
      <w:r w:rsidR="0095780A">
        <w:t xml:space="preserve">korištenje usluge </w:t>
      </w:r>
      <w:r>
        <w:t xml:space="preserve">internet bankarstva, </w:t>
      </w:r>
      <w:r w:rsidR="0095780A">
        <w:t xml:space="preserve">korištenja certifikata </w:t>
      </w:r>
      <w:r>
        <w:t>F</w:t>
      </w:r>
      <w:r w:rsidR="0095780A">
        <w:t>ine za potrebe tajništva i računovodstva.</w:t>
      </w:r>
      <w:r>
        <w:t xml:space="preserve"> Smanjenje rashoda proizlazi iz </w:t>
      </w:r>
      <w:r w:rsidR="0095780A">
        <w:lastRenderedPageBreak/>
        <w:t>racionalizacije korištenja usluga Internet bankarstva prema cjeniku banke (planiranje izvršenja pripremljenih naloga za plaćanje).</w:t>
      </w:r>
      <w:r>
        <w:t xml:space="preserve"> </w:t>
      </w:r>
    </w:p>
    <w:p w:rsidR="0095780A" w:rsidRDefault="0095780A" w:rsidP="006A6D6E">
      <w:pPr>
        <w:jc w:val="both"/>
      </w:pPr>
    </w:p>
    <w:p w:rsidR="00384681" w:rsidRPr="00384681" w:rsidRDefault="00384681" w:rsidP="006A6D6E">
      <w:pPr>
        <w:jc w:val="both"/>
        <w:rPr>
          <w:u w:val="single"/>
        </w:rPr>
      </w:pPr>
      <w:r w:rsidRPr="00384681">
        <w:rPr>
          <w:u w:val="single"/>
        </w:rPr>
        <w:t>AOP 255 Naknade građanima i kućanstvima u naravi</w:t>
      </w:r>
    </w:p>
    <w:p w:rsidR="00384681" w:rsidRDefault="00384681" w:rsidP="006A6D6E">
      <w:pPr>
        <w:jc w:val="both"/>
      </w:pPr>
      <w:r>
        <w:t xml:space="preserve">Pozicija </w:t>
      </w:r>
      <w:r w:rsidR="00D666AD">
        <w:t xml:space="preserve">obuhvaća trošak redovnog prijevoza učenika u školu i iz škole i </w:t>
      </w:r>
      <w:r>
        <w:t>bilježi porast radi promjene prijevoznika</w:t>
      </w:r>
      <w:r w:rsidR="00D666AD">
        <w:t>.</w:t>
      </w:r>
      <w:r w:rsidR="0095780A">
        <w:t xml:space="preserve"> Uslugu ugovara i financira osnivač Istarska županija putem objedinjenog postupka javne nabave.</w:t>
      </w:r>
      <w:r>
        <w:t xml:space="preserve"> </w:t>
      </w:r>
    </w:p>
    <w:p w:rsidR="00A529AC" w:rsidRDefault="00A529AC">
      <w:pPr>
        <w:pStyle w:val="ListParagraph"/>
        <w:jc w:val="both"/>
      </w:pPr>
    </w:p>
    <w:p w:rsidR="00A529AC" w:rsidRDefault="00384681">
      <w:pPr>
        <w:rPr>
          <w:u w:val="single"/>
        </w:rPr>
      </w:pPr>
      <w:r w:rsidRPr="00704FA8">
        <w:rPr>
          <w:u w:val="single"/>
        </w:rPr>
        <w:t>AOP 3</w:t>
      </w:r>
      <w:r w:rsidR="0095780A">
        <w:rPr>
          <w:u w:val="single"/>
        </w:rPr>
        <w:t>53 Ostala nematerijalna imovina</w:t>
      </w:r>
    </w:p>
    <w:p w:rsidR="005C1694" w:rsidRDefault="005C1694" w:rsidP="005C1694">
      <w:pPr>
        <w:jc w:val="both"/>
      </w:pPr>
      <w:r>
        <w:t>Pozicija uključuje trošak ulaganja u priključenje na elektoenergetsku mrežu, za potrebe nadogradnje školske zgrade.</w:t>
      </w:r>
    </w:p>
    <w:p w:rsidR="0095780A" w:rsidRDefault="0095780A"/>
    <w:p w:rsidR="0095780A" w:rsidRPr="0095780A" w:rsidRDefault="0095780A">
      <w:pPr>
        <w:rPr>
          <w:u w:val="single"/>
        </w:rPr>
      </w:pPr>
      <w:r w:rsidRPr="0095780A">
        <w:rPr>
          <w:u w:val="single"/>
        </w:rPr>
        <w:t>AOP 361 Uredska oprema i namještaj</w:t>
      </w:r>
    </w:p>
    <w:p w:rsidR="0095780A" w:rsidRDefault="0095780A">
      <w:r>
        <w:t xml:space="preserve">Tijekom 2018. godine nabavljena je </w:t>
      </w:r>
      <w:r w:rsidR="00094ECA">
        <w:t xml:space="preserve">primarno računalna oprema za opremanje učionica informatike i projektori za prezentaciju nastavnih sadržaja. </w:t>
      </w:r>
    </w:p>
    <w:p w:rsidR="0095780A" w:rsidRDefault="0095780A"/>
    <w:p w:rsidR="0095780A" w:rsidRPr="0095780A" w:rsidRDefault="0095780A">
      <w:pPr>
        <w:rPr>
          <w:u w:val="single"/>
        </w:rPr>
      </w:pPr>
      <w:r w:rsidRPr="0095780A">
        <w:rPr>
          <w:u w:val="single"/>
        </w:rPr>
        <w:t>AOP 363 Oprema za održavanje i zaštitu</w:t>
      </w:r>
    </w:p>
    <w:p w:rsidR="0095780A" w:rsidRDefault="00094ECA">
      <w:r>
        <w:t>Nabavljen je klima uređaj za učionicu povijesti, geografije i glazbenog odgoja.</w:t>
      </w:r>
    </w:p>
    <w:p w:rsidR="00094ECA" w:rsidRDefault="00094ECA"/>
    <w:p w:rsidR="0095780A" w:rsidRPr="0095780A" w:rsidRDefault="0095780A" w:rsidP="00330A98">
      <w:pPr>
        <w:jc w:val="both"/>
        <w:rPr>
          <w:u w:val="single"/>
        </w:rPr>
      </w:pPr>
      <w:r w:rsidRPr="0095780A">
        <w:rPr>
          <w:u w:val="single"/>
        </w:rPr>
        <w:t>AOP 366 Sportska i glazbena oprema</w:t>
      </w:r>
    </w:p>
    <w:p w:rsidR="0095780A" w:rsidRDefault="00DF342E" w:rsidP="00330A98">
      <w:pPr>
        <w:jc w:val="both"/>
      </w:pPr>
      <w:r>
        <w:t>Nabavljeni su b</w:t>
      </w:r>
      <w:r w:rsidR="0095780A">
        <w:t>ežični mikrofoni za potrebe provođenja projekta Zavičajne nastave i drugih školskih aktivnosti, priredbi i sl.</w:t>
      </w:r>
    </w:p>
    <w:p w:rsidR="00330A98" w:rsidRDefault="00330A98" w:rsidP="00330A98">
      <w:pPr>
        <w:jc w:val="both"/>
      </w:pPr>
    </w:p>
    <w:p w:rsidR="00330A98" w:rsidRPr="00330A98" w:rsidRDefault="00330A98" w:rsidP="00330A98">
      <w:pPr>
        <w:jc w:val="both"/>
        <w:rPr>
          <w:u w:val="single"/>
        </w:rPr>
      </w:pPr>
      <w:r w:rsidRPr="00330A98">
        <w:rPr>
          <w:u w:val="single"/>
        </w:rPr>
        <w:t>AOP 394 Dodatna ulaganja na građevinskim objektima</w:t>
      </w:r>
    </w:p>
    <w:p w:rsidR="00330A98" w:rsidRDefault="00094ECA" w:rsidP="00330A98">
      <w:pPr>
        <w:jc w:val="both"/>
      </w:pPr>
      <w:r>
        <w:t>Pozicija obuhvaća glavni projekt rekonstrukcije školske zgrade, zamjenu rasvjetnih tijela i sanaciju sanitarnog čvora učenika.</w:t>
      </w:r>
    </w:p>
    <w:p w:rsidR="00094ECA" w:rsidRPr="0095780A" w:rsidRDefault="00094ECA" w:rsidP="00330A98">
      <w:pPr>
        <w:jc w:val="both"/>
      </w:pPr>
    </w:p>
    <w:p w:rsidR="00384681" w:rsidRPr="00330A98" w:rsidRDefault="00330A98" w:rsidP="00330A98">
      <w:pPr>
        <w:jc w:val="both"/>
        <w:rPr>
          <w:u w:val="single"/>
        </w:rPr>
      </w:pPr>
      <w:r w:rsidRPr="00330A98">
        <w:rPr>
          <w:u w:val="single"/>
        </w:rPr>
        <w:t>AOP 400 Višak prihoda od nefinancijske imovine – preneseni</w:t>
      </w:r>
    </w:p>
    <w:p w:rsidR="00330A98" w:rsidRDefault="00094ECA" w:rsidP="00330A98">
      <w:pPr>
        <w:jc w:val="both"/>
      </w:pPr>
      <w:r>
        <w:t>Odnosi se na p</w:t>
      </w:r>
      <w:r w:rsidR="00330A98">
        <w:t>rihod osnivača Istarske županije iz 2017. godine za podmirenje troška izrade glavnog projekta nadogradnje matične školske zgrade u Kanfanaru u 2018. godini.</w:t>
      </w:r>
    </w:p>
    <w:p w:rsidR="00330A98" w:rsidRDefault="00330A98"/>
    <w:p w:rsidR="00E26245" w:rsidRDefault="00E26245">
      <w:pPr>
        <w:rPr>
          <w:u w:val="single"/>
        </w:rPr>
      </w:pPr>
      <w:r>
        <w:rPr>
          <w:u w:val="single"/>
        </w:rPr>
        <w:t>AOP 635 Višak prihoda i primitaka raspoloživ u slijedećem razdoblju</w:t>
      </w:r>
    </w:p>
    <w:p w:rsidR="00E26245" w:rsidRDefault="00E26245">
      <w:pPr>
        <w:rPr>
          <w:u w:val="single"/>
        </w:rPr>
      </w:pPr>
    </w:p>
    <w:p w:rsidR="00E26245" w:rsidRPr="00E26245" w:rsidRDefault="00E26245">
      <w:r w:rsidRPr="00E26245">
        <w:t>Obračun rezultata:</w:t>
      </w:r>
    </w:p>
    <w:p w:rsidR="00E26245" w:rsidRDefault="00E26245">
      <w:pPr>
        <w:rPr>
          <w:u w:val="single"/>
        </w:rPr>
      </w:pPr>
    </w:p>
    <w:tbl>
      <w:tblPr>
        <w:tblStyle w:val="TableGrid"/>
        <w:tblW w:w="8840" w:type="dxa"/>
        <w:tblInd w:w="-5" w:type="dxa"/>
        <w:tblCellMar>
          <w:left w:w="103" w:type="dxa"/>
        </w:tblCellMar>
        <w:tblLook w:val="04A0" w:firstRow="1" w:lastRow="0" w:firstColumn="1" w:lastColumn="0" w:noHBand="0" w:noVBand="1"/>
      </w:tblPr>
      <w:tblGrid>
        <w:gridCol w:w="6054"/>
        <w:gridCol w:w="1237"/>
        <w:gridCol w:w="1549"/>
      </w:tblGrid>
      <w:tr w:rsidR="00A529AC" w:rsidTr="00F63938">
        <w:tc>
          <w:tcPr>
            <w:tcW w:w="6054" w:type="dxa"/>
            <w:shd w:val="clear" w:color="auto" w:fill="auto"/>
            <w:tcMar>
              <w:left w:w="103" w:type="dxa"/>
            </w:tcMar>
          </w:tcPr>
          <w:p w:rsidR="00A529AC" w:rsidRDefault="005528BD">
            <w:r>
              <w:t>Višak prihoda poslovanja</w:t>
            </w:r>
          </w:p>
        </w:tc>
        <w:tc>
          <w:tcPr>
            <w:tcW w:w="1237" w:type="dxa"/>
            <w:shd w:val="clear" w:color="auto" w:fill="auto"/>
            <w:tcMar>
              <w:left w:w="103" w:type="dxa"/>
            </w:tcMar>
            <w:vAlign w:val="center"/>
          </w:tcPr>
          <w:p w:rsidR="00A529AC" w:rsidRDefault="005528BD" w:rsidP="00704FA8">
            <w:pPr>
              <w:jc w:val="center"/>
            </w:pPr>
            <w:r>
              <w:t xml:space="preserve">AOP </w:t>
            </w:r>
            <w:r w:rsidR="00704FA8">
              <w:t>282</w:t>
            </w:r>
          </w:p>
        </w:tc>
        <w:tc>
          <w:tcPr>
            <w:tcW w:w="1549" w:type="dxa"/>
            <w:shd w:val="clear" w:color="auto" w:fill="auto"/>
            <w:tcMar>
              <w:left w:w="103" w:type="dxa"/>
            </w:tcMar>
          </w:tcPr>
          <w:p w:rsidR="00A529AC" w:rsidRDefault="00E26245">
            <w:pPr>
              <w:jc w:val="right"/>
            </w:pPr>
            <w:r>
              <w:t>165.894</w:t>
            </w:r>
          </w:p>
        </w:tc>
      </w:tr>
      <w:tr w:rsidR="00A529AC" w:rsidTr="00F63938">
        <w:tc>
          <w:tcPr>
            <w:tcW w:w="6054" w:type="dxa"/>
            <w:shd w:val="clear" w:color="auto" w:fill="auto"/>
            <w:tcMar>
              <w:left w:w="103" w:type="dxa"/>
            </w:tcMar>
          </w:tcPr>
          <w:p w:rsidR="00A529AC" w:rsidRDefault="005528BD">
            <w:r>
              <w:t>Manjak prihoda od nefinancijske imovine</w:t>
            </w:r>
          </w:p>
        </w:tc>
        <w:tc>
          <w:tcPr>
            <w:tcW w:w="1237" w:type="dxa"/>
            <w:shd w:val="clear" w:color="auto" w:fill="auto"/>
            <w:tcMar>
              <w:left w:w="103" w:type="dxa"/>
            </w:tcMar>
            <w:vAlign w:val="center"/>
          </w:tcPr>
          <w:p w:rsidR="00A529AC" w:rsidRDefault="005528BD" w:rsidP="00704FA8">
            <w:pPr>
              <w:jc w:val="center"/>
            </w:pPr>
            <w:r>
              <w:t xml:space="preserve">AOP </w:t>
            </w:r>
            <w:r w:rsidR="00704FA8">
              <w:t>399</w:t>
            </w:r>
          </w:p>
        </w:tc>
        <w:tc>
          <w:tcPr>
            <w:tcW w:w="1549" w:type="dxa"/>
            <w:shd w:val="clear" w:color="auto" w:fill="auto"/>
            <w:tcMar>
              <w:left w:w="103" w:type="dxa"/>
            </w:tcMar>
          </w:tcPr>
          <w:p w:rsidR="00A529AC" w:rsidRDefault="00E26245">
            <w:pPr>
              <w:jc w:val="right"/>
            </w:pPr>
            <w:r>
              <w:t>-421.640</w:t>
            </w:r>
          </w:p>
        </w:tc>
      </w:tr>
      <w:tr w:rsidR="00A529AC" w:rsidTr="00F63938">
        <w:tc>
          <w:tcPr>
            <w:tcW w:w="6054" w:type="dxa"/>
            <w:shd w:val="clear" w:color="auto" w:fill="auto"/>
            <w:tcMar>
              <w:left w:w="103" w:type="dxa"/>
            </w:tcMar>
          </w:tcPr>
          <w:p w:rsidR="00A529AC" w:rsidRDefault="005528BD" w:rsidP="00E26245">
            <w:r>
              <w:t xml:space="preserve">Višak prihoda </w:t>
            </w:r>
            <w:r w:rsidR="00E26245">
              <w:t>od nefinancijske imovine</w:t>
            </w:r>
            <w:r>
              <w:t xml:space="preserve"> - preneseni</w:t>
            </w:r>
          </w:p>
        </w:tc>
        <w:tc>
          <w:tcPr>
            <w:tcW w:w="1237" w:type="dxa"/>
            <w:shd w:val="clear" w:color="auto" w:fill="auto"/>
            <w:tcMar>
              <w:left w:w="103" w:type="dxa"/>
            </w:tcMar>
            <w:vAlign w:val="center"/>
          </w:tcPr>
          <w:p w:rsidR="00A529AC" w:rsidRDefault="005528BD" w:rsidP="00E26245">
            <w:pPr>
              <w:jc w:val="center"/>
            </w:pPr>
            <w:r>
              <w:t xml:space="preserve">AOP </w:t>
            </w:r>
            <w:r w:rsidR="00E26245">
              <w:t>400</w:t>
            </w:r>
          </w:p>
        </w:tc>
        <w:tc>
          <w:tcPr>
            <w:tcW w:w="1549" w:type="dxa"/>
            <w:shd w:val="clear" w:color="auto" w:fill="auto"/>
            <w:tcMar>
              <w:left w:w="103" w:type="dxa"/>
            </w:tcMar>
          </w:tcPr>
          <w:p w:rsidR="00A529AC" w:rsidRDefault="00E26245">
            <w:pPr>
              <w:jc w:val="right"/>
            </w:pPr>
            <w:r>
              <w:t>257.025</w:t>
            </w:r>
          </w:p>
        </w:tc>
      </w:tr>
      <w:tr w:rsidR="00A529AC" w:rsidTr="00F63938">
        <w:tc>
          <w:tcPr>
            <w:tcW w:w="6054" w:type="dxa"/>
            <w:shd w:val="clear" w:color="auto" w:fill="auto"/>
            <w:tcMar>
              <w:left w:w="103" w:type="dxa"/>
            </w:tcMar>
          </w:tcPr>
          <w:p w:rsidR="00A529AC" w:rsidRDefault="00E26245">
            <w:r>
              <w:t>Višak</w:t>
            </w:r>
            <w:r w:rsidR="005528BD">
              <w:t xml:space="preserve"> prihoda </w:t>
            </w:r>
            <w:r w:rsidR="00F63938">
              <w:t xml:space="preserve">i primitaka </w:t>
            </w:r>
            <w:r w:rsidR="005528BD">
              <w:t>raspoloživ u sljedećem razdoblju</w:t>
            </w:r>
          </w:p>
        </w:tc>
        <w:tc>
          <w:tcPr>
            <w:tcW w:w="1237" w:type="dxa"/>
            <w:shd w:val="clear" w:color="auto" w:fill="auto"/>
            <w:tcMar>
              <w:left w:w="103" w:type="dxa"/>
            </w:tcMar>
            <w:vAlign w:val="center"/>
          </w:tcPr>
          <w:p w:rsidR="00A529AC" w:rsidRDefault="005528BD" w:rsidP="00F63938">
            <w:pPr>
              <w:jc w:val="center"/>
            </w:pPr>
            <w:r>
              <w:t>AOP 63</w:t>
            </w:r>
            <w:r w:rsidR="00704FA8">
              <w:t>5</w:t>
            </w:r>
          </w:p>
        </w:tc>
        <w:tc>
          <w:tcPr>
            <w:tcW w:w="1549" w:type="dxa"/>
            <w:shd w:val="clear" w:color="auto" w:fill="auto"/>
            <w:tcMar>
              <w:left w:w="103" w:type="dxa"/>
            </w:tcMar>
            <w:vAlign w:val="center"/>
          </w:tcPr>
          <w:p w:rsidR="00A529AC" w:rsidRDefault="00E26245" w:rsidP="00F63938">
            <w:pPr>
              <w:jc w:val="right"/>
            </w:pPr>
            <w:r>
              <w:t>1.279</w:t>
            </w:r>
          </w:p>
        </w:tc>
      </w:tr>
    </w:tbl>
    <w:p w:rsidR="00704FA8" w:rsidRDefault="00704FA8" w:rsidP="00F63938">
      <w:pPr>
        <w:jc w:val="both"/>
      </w:pPr>
    </w:p>
    <w:p w:rsidR="00F93DC7" w:rsidRDefault="00F93DC7" w:rsidP="00F63938">
      <w:pPr>
        <w:jc w:val="both"/>
      </w:pPr>
    </w:p>
    <w:p w:rsidR="00F93DC7" w:rsidRPr="00F93DC7" w:rsidRDefault="00F93DC7" w:rsidP="00F63938">
      <w:pPr>
        <w:jc w:val="both"/>
        <w:rPr>
          <w:u w:val="single"/>
        </w:rPr>
      </w:pPr>
      <w:r w:rsidRPr="00F93DC7">
        <w:rPr>
          <w:u w:val="single"/>
        </w:rPr>
        <w:t>AOP 637 Unaprijed plaćeni rashodi budućih razdoblja i nedospjela naplata prihoda</w:t>
      </w:r>
    </w:p>
    <w:p w:rsidR="00A529AC" w:rsidRDefault="00F93DC7" w:rsidP="00C24899">
      <w:pPr>
        <w:jc w:val="both"/>
      </w:pPr>
      <w:r>
        <w:t>Pozicija obuhvaća plaće i naknade za zaposlene za mjesec prosinac</w:t>
      </w:r>
      <w:r w:rsidR="00D666AD">
        <w:t>,</w:t>
      </w:r>
      <w:r w:rsidR="00DF342E">
        <w:t xml:space="preserve"> isplaćene u siječnju 2019</w:t>
      </w:r>
      <w:r>
        <w:t>. godine.</w:t>
      </w:r>
    </w:p>
    <w:p w:rsidR="00F93DC7" w:rsidRDefault="00F93DC7"/>
    <w:p w:rsidR="00F93DC7" w:rsidRPr="00F93DC7" w:rsidRDefault="00F93DC7">
      <w:pPr>
        <w:rPr>
          <w:u w:val="single"/>
        </w:rPr>
      </w:pPr>
      <w:r w:rsidRPr="00F93DC7">
        <w:rPr>
          <w:u w:val="single"/>
        </w:rPr>
        <w:t>AOP 641 Stanje novčanih sredstava na kraju izvještajnog razdoblja</w:t>
      </w:r>
    </w:p>
    <w:p w:rsidR="00F93DC7" w:rsidRDefault="00F93DC7" w:rsidP="00C24899">
      <w:pPr>
        <w:jc w:val="both"/>
      </w:pPr>
      <w:r>
        <w:t xml:space="preserve">Pozicija obuhvaća sredstva na žiro računu škole za podmirenje </w:t>
      </w:r>
      <w:r w:rsidR="00E10611">
        <w:t xml:space="preserve">tekućih obveza </w:t>
      </w:r>
      <w:r w:rsidR="00094ECA">
        <w:t>s rokom dospijeća nakon</w:t>
      </w:r>
      <w:r w:rsidR="00330A98">
        <w:t xml:space="preserve"> 31.12.2018. godine.</w:t>
      </w:r>
    </w:p>
    <w:p w:rsidR="00A529AC" w:rsidRDefault="00A529AC"/>
    <w:p w:rsidR="00932CC3" w:rsidRDefault="00932CC3" w:rsidP="00C24899">
      <w:pPr>
        <w:rPr>
          <w:b/>
        </w:rPr>
      </w:pPr>
    </w:p>
    <w:p w:rsidR="00932CC3" w:rsidRDefault="00932CC3" w:rsidP="00C24899">
      <w:pPr>
        <w:rPr>
          <w:b/>
        </w:rPr>
      </w:pPr>
    </w:p>
    <w:p w:rsidR="00094ECA" w:rsidRDefault="00094ECA" w:rsidP="00C24899">
      <w:pPr>
        <w:rPr>
          <w:b/>
        </w:rPr>
      </w:pPr>
    </w:p>
    <w:p w:rsidR="00094ECA" w:rsidRDefault="00094ECA" w:rsidP="00C24899">
      <w:pPr>
        <w:rPr>
          <w:b/>
        </w:rPr>
      </w:pPr>
    </w:p>
    <w:p w:rsidR="00C24899" w:rsidRDefault="00B9404F" w:rsidP="00B9404F">
      <w:pPr>
        <w:jc w:val="center"/>
        <w:rPr>
          <w:b/>
        </w:rPr>
      </w:pPr>
      <w:r>
        <w:rPr>
          <w:b/>
        </w:rPr>
        <w:lastRenderedPageBreak/>
        <w:t xml:space="preserve">Bilješke uz izvještaj o rashodima prema funkcijskoj klasifikaciji – Obrazac </w:t>
      </w:r>
      <w:r w:rsidR="00C24899">
        <w:rPr>
          <w:b/>
        </w:rPr>
        <w:t>RAS-funkcijski</w:t>
      </w:r>
    </w:p>
    <w:p w:rsidR="00C24899" w:rsidRDefault="00C24899" w:rsidP="00C24899">
      <w:pPr>
        <w:rPr>
          <w:b/>
        </w:rPr>
      </w:pPr>
    </w:p>
    <w:p w:rsidR="00C24899" w:rsidRPr="00330A98" w:rsidRDefault="00C24899" w:rsidP="00C24899">
      <w:pPr>
        <w:rPr>
          <w:u w:val="single"/>
        </w:rPr>
      </w:pPr>
      <w:r w:rsidRPr="00330A98">
        <w:rPr>
          <w:u w:val="single"/>
        </w:rPr>
        <w:t>AOP 122 Dodatne usluge u obrazovanju</w:t>
      </w:r>
    </w:p>
    <w:p w:rsidR="00C24899" w:rsidRDefault="00C24899" w:rsidP="00C24899">
      <w:pPr>
        <w:jc w:val="both"/>
      </w:pPr>
      <w:r>
        <w:t>Dio rashoda koji se odnose na dodatne usluge u obrazovanju obuhvaća rashode školske kuhinje (</w:t>
      </w:r>
      <w:r w:rsidR="00330A98">
        <w:t xml:space="preserve">troškove </w:t>
      </w:r>
      <w:r>
        <w:t>namirn</w:t>
      </w:r>
      <w:r w:rsidR="00330A98">
        <w:t>ica</w:t>
      </w:r>
      <w:r w:rsidR="00E10611">
        <w:t xml:space="preserve"> za marendu učenika) te</w:t>
      </w:r>
      <w:r>
        <w:t xml:space="preserve"> prijevoza učenika u školu i iz škole. </w:t>
      </w:r>
    </w:p>
    <w:p w:rsidR="00C24899" w:rsidRDefault="00C24899" w:rsidP="00C24899">
      <w:pPr>
        <w:rPr>
          <w:b/>
        </w:rPr>
      </w:pPr>
    </w:p>
    <w:p w:rsidR="00C24899" w:rsidRDefault="00C24899" w:rsidP="00C24899">
      <w:pPr>
        <w:rPr>
          <w:b/>
        </w:rPr>
      </w:pPr>
    </w:p>
    <w:p w:rsidR="00C24899" w:rsidRDefault="00C24899" w:rsidP="00B9404F">
      <w:pPr>
        <w:jc w:val="center"/>
        <w:rPr>
          <w:b/>
        </w:rPr>
      </w:pPr>
      <w:r>
        <w:rPr>
          <w:b/>
        </w:rPr>
        <w:t>Bilješke uz</w:t>
      </w:r>
      <w:r w:rsidR="00B9404F">
        <w:rPr>
          <w:b/>
        </w:rPr>
        <w:t xml:space="preserve"> izvještaj o promjenama u vrijednosti i obujmu imovine i obveza – Obrazac </w:t>
      </w:r>
      <w:r>
        <w:rPr>
          <w:b/>
        </w:rPr>
        <w:t>P-VRIO</w:t>
      </w:r>
    </w:p>
    <w:p w:rsidR="00C24899" w:rsidRDefault="00C24899" w:rsidP="00C24899"/>
    <w:p w:rsidR="00C24899" w:rsidRDefault="00C24899" w:rsidP="00C24899">
      <w:pPr>
        <w:jc w:val="both"/>
        <w:outlineLvl w:val="0"/>
      </w:pPr>
      <w:r>
        <w:t>U izvještajnom razdoblju nema evidentiranih promjena u vrijednosti i obujmu imovine i obveza.</w:t>
      </w:r>
    </w:p>
    <w:p w:rsidR="00C24899" w:rsidRDefault="00C24899" w:rsidP="00C24899">
      <w:pPr>
        <w:outlineLvl w:val="0"/>
      </w:pPr>
    </w:p>
    <w:p w:rsidR="00A529AC" w:rsidRDefault="00A529AC"/>
    <w:p w:rsidR="00A529AC" w:rsidRDefault="005528BD" w:rsidP="00B9404F">
      <w:pPr>
        <w:jc w:val="center"/>
        <w:rPr>
          <w:b/>
        </w:rPr>
      </w:pPr>
      <w:r>
        <w:rPr>
          <w:b/>
        </w:rPr>
        <w:t>Bilješke uz</w:t>
      </w:r>
      <w:r w:rsidR="00B9404F">
        <w:rPr>
          <w:b/>
        </w:rPr>
        <w:t xml:space="preserve"> izvještaj o obvezama – Obrazac </w:t>
      </w:r>
      <w:r>
        <w:rPr>
          <w:b/>
        </w:rPr>
        <w:t>O</w:t>
      </w:r>
      <w:r w:rsidR="00AB6B84">
        <w:rPr>
          <w:b/>
        </w:rPr>
        <w:t>bveze</w:t>
      </w:r>
    </w:p>
    <w:p w:rsidR="00A529AC" w:rsidRDefault="00A529AC"/>
    <w:p w:rsidR="00A529AC" w:rsidRPr="00AA01AD" w:rsidRDefault="00873F64">
      <w:pPr>
        <w:rPr>
          <w:u w:val="single"/>
        </w:rPr>
      </w:pPr>
      <w:r w:rsidRPr="00AA01AD">
        <w:rPr>
          <w:u w:val="single"/>
        </w:rPr>
        <w:t>AOP 036</w:t>
      </w:r>
      <w:r w:rsidR="005528BD" w:rsidRPr="00AA01AD">
        <w:rPr>
          <w:u w:val="single"/>
        </w:rPr>
        <w:t xml:space="preserve"> Stanje obveza na kraju izvještajnog razdoblja</w:t>
      </w:r>
    </w:p>
    <w:p w:rsidR="00A529AC" w:rsidRDefault="00873F64">
      <w:pPr>
        <w:jc w:val="both"/>
      </w:pPr>
      <w:r>
        <w:t>Pozicija obuhvaća nedospjele</w:t>
      </w:r>
      <w:r w:rsidR="005528BD">
        <w:t xml:space="preserve"> obveze </w:t>
      </w:r>
      <w:r>
        <w:t>za plaću za zaposlene</w:t>
      </w:r>
      <w:r w:rsidR="00E10611">
        <w:t xml:space="preserve"> za mjesec prosinac</w:t>
      </w:r>
      <w:r>
        <w:t xml:space="preserve"> i ostale rashode nastale u </w:t>
      </w:r>
      <w:r w:rsidR="00AA01AD">
        <w:t>2018</w:t>
      </w:r>
      <w:r w:rsidR="0052185A">
        <w:t>. godini</w:t>
      </w:r>
      <w:r>
        <w:t xml:space="preserve">, s rokom dospijeća </w:t>
      </w:r>
      <w:r w:rsidR="00AA01AD">
        <w:t>plaćanja u 2019</w:t>
      </w:r>
      <w:r>
        <w:t xml:space="preserve">. godini.    </w:t>
      </w:r>
    </w:p>
    <w:p w:rsidR="00A529AC" w:rsidRDefault="00A529AC">
      <w:pPr>
        <w:jc w:val="both"/>
      </w:pPr>
    </w:p>
    <w:p w:rsidR="00FA5BE0" w:rsidRDefault="00FA5BE0">
      <w:pPr>
        <w:rPr>
          <w:b/>
        </w:rPr>
      </w:pPr>
    </w:p>
    <w:p w:rsidR="00A529AC" w:rsidRDefault="00B9404F">
      <w:r>
        <w:t>Kanfanar, 30. siječnja 2019</w:t>
      </w:r>
      <w:r w:rsidR="005528BD">
        <w:t xml:space="preserve">.                                                                    </w:t>
      </w:r>
    </w:p>
    <w:p w:rsidR="00A529AC" w:rsidRDefault="00A529AC">
      <w:pPr>
        <w:jc w:val="both"/>
      </w:pPr>
    </w:p>
    <w:p w:rsidR="0052185A" w:rsidRDefault="0052185A">
      <w:pPr>
        <w:jc w:val="both"/>
      </w:pPr>
    </w:p>
    <w:p w:rsidR="00FA5BE0" w:rsidRPr="00FA5BE0" w:rsidRDefault="005528BD">
      <w:pPr>
        <w:jc w:val="both"/>
      </w:pPr>
      <w:r>
        <w:tab/>
        <w:t xml:space="preserve">          </w:t>
      </w:r>
    </w:p>
    <w:p w:rsidR="00A529AC" w:rsidRDefault="005528BD" w:rsidP="00FA5BE0">
      <w:pPr>
        <w:ind w:left="5664" w:firstLine="708"/>
        <w:jc w:val="both"/>
      </w:pPr>
      <w:r>
        <w:t xml:space="preserve">         Ravnatelj:</w:t>
      </w:r>
    </w:p>
    <w:p w:rsidR="00A529AC" w:rsidRDefault="005528BD">
      <w:pPr>
        <w:jc w:val="both"/>
        <w:rPr>
          <w:b/>
        </w:rPr>
      </w:pPr>
      <w:r>
        <w:tab/>
        <w:t xml:space="preserve">       </w:t>
      </w:r>
      <w:r w:rsidR="008665BB">
        <w:t xml:space="preserve"> </w:t>
      </w:r>
      <w:r w:rsidR="008665BB">
        <w:tab/>
      </w:r>
      <w:r w:rsidR="008665BB">
        <w:tab/>
      </w:r>
      <w:r w:rsidR="008665BB">
        <w:tab/>
      </w:r>
      <w:r w:rsidR="008665BB">
        <w:tab/>
      </w:r>
      <w:r w:rsidR="008665BB">
        <w:tab/>
      </w:r>
      <w:r w:rsidR="008665BB">
        <w:tab/>
      </w:r>
      <w:r w:rsidR="008665BB">
        <w:tab/>
      </w:r>
      <w:r w:rsidR="008665BB">
        <w:tab/>
        <w:t xml:space="preserve"> </w:t>
      </w:r>
      <w:r w:rsidR="00B9404F">
        <w:t>Ivor Kuček</w:t>
      </w:r>
      <w:r w:rsidR="008665BB">
        <w:t xml:space="preserve">, </w:t>
      </w:r>
      <w:r w:rsidR="00B9404F">
        <w:t>dipl</w:t>
      </w:r>
      <w:r w:rsidR="008665BB">
        <w:t>.</w:t>
      </w:r>
      <w:r w:rsidR="00B9404F">
        <w:t>uč.</w:t>
      </w:r>
    </w:p>
    <w:p w:rsidR="00A529AC" w:rsidRDefault="00A529AC">
      <w:pPr>
        <w:jc w:val="both"/>
      </w:pPr>
    </w:p>
    <w:p w:rsidR="00A529AC" w:rsidRDefault="005528BD">
      <w:pPr>
        <w:jc w:val="both"/>
      </w:pPr>
      <w:r>
        <w:t xml:space="preserve">                      </w:t>
      </w:r>
    </w:p>
    <w:p w:rsidR="00A529AC" w:rsidRDefault="005528BD">
      <w:r>
        <w:t xml:space="preserve">                                                                                                                       </w:t>
      </w:r>
    </w:p>
    <w:p w:rsidR="00A529AC" w:rsidRDefault="00A529AC">
      <w:pPr>
        <w:rPr>
          <w:b/>
        </w:rPr>
      </w:pPr>
    </w:p>
    <w:p w:rsidR="00A529AC" w:rsidRDefault="005528BD">
      <w:r>
        <w:rPr>
          <w:b/>
        </w:rPr>
        <w:t xml:space="preserve"> </w:t>
      </w:r>
    </w:p>
    <w:p w:rsidR="00A529AC" w:rsidRDefault="00A529AC"/>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6E7F9D"/>
    <w:multiLevelType w:val="hybridMultilevel"/>
    <w:tmpl w:val="02A004DE"/>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5C7462"/>
    <w:multiLevelType w:val="hybridMultilevel"/>
    <w:tmpl w:val="6B6EF59C"/>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73FEB"/>
    <w:multiLevelType w:val="hybridMultilevel"/>
    <w:tmpl w:val="979A83A2"/>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0780C"/>
    <w:rsid w:val="00043569"/>
    <w:rsid w:val="00094A7D"/>
    <w:rsid w:val="00094ECA"/>
    <w:rsid w:val="000D2CD4"/>
    <w:rsid w:val="000F255A"/>
    <w:rsid w:val="0014385C"/>
    <w:rsid w:val="00154427"/>
    <w:rsid w:val="00183875"/>
    <w:rsid w:val="00193CC9"/>
    <w:rsid w:val="001943DC"/>
    <w:rsid w:val="001A22E4"/>
    <w:rsid w:val="002A4118"/>
    <w:rsid w:val="00330A98"/>
    <w:rsid w:val="00365851"/>
    <w:rsid w:val="00384681"/>
    <w:rsid w:val="00387A56"/>
    <w:rsid w:val="003957E9"/>
    <w:rsid w:val="003C09A1"/>
    <w:rsid w:val="003C3DF1"/>
    <w:rsid w:val="00404198"/>
    <w:rsid w:val="004278D8"/>
    <w:rsid w:val="004426D8"/>
    <w:rsid w:val="0045716B"/>
    <w:rsid w:val="004668D5"/>
    <w:rsid w:val="00495C2E"/>
    <w:rsid w:val="004B29EA"/>
    <w:rsid w:val="0052185A"/>
    <w:rsid w:val="00525EEE"/>
    <w:rsid w:val="005528BD"/>
    <w:rsid w:val="00566387"/>
    <w:rsid w:val="005965F4"/>
    <w:rsid w:val="005C1694"/>
    <w:rsid w:val="005C19F9"/>
    <w:rsid w:val="00637FA3"/>
    <w:rsid w:val="0066758B"/>
    <w:rsid w:val="006A6D6E"/>
    <w:rsid w:val="006B5FCD"/>
    <w:rsid w:val="00704FA8"/>
    <w:rsid w:val="00710F03"/>
    <w:rsid w:val="00742AA8"/>
    <w:rsid w:val="007D2070"/>
    <w:rsid w:val="00804E0A"/>
    <w:rsid w:val="008665BB"/>
    <w:rsid w:val="00873F64"/>
    <w:rsid w:val="00883C4C"/>
    <w:rsid w:val="008934CA"/>
    <w:rsid w:val="00932CC3"/>
    <w:rsid w:val="009337C0"/>
    <w:rsid w:val="0095780A"/>
    <w:rsid w:val="00980CAC"/>
    <w:rsid w:val="009A3A33"/>
    <w:rsid w:val="009D4C67"/>
    <w:rsid w:val="00A529AC"/>
    <w:rsid w:val="00A556A3"/>
    <w:rsid w:val="00A80F70"/>
    <w:rsid w:val="00AA0196"/>
    <w:rsid w:val="00AA01AD"/>
    <w:rsid w:val="00AA4598"/>
    <w:rsid w:val="00AB6B84"/>
    <w:rsid w:val="00B9404F"/>
    <w:rsid w:val="00B969D9"/>
    <w:rsid w:val="00C10BC7"/>
    <w:rsid w:val="00C24899"/>
    <w:rsid w:val="00C47F96"/>
    <w:rsid w:val="00C702B7"/>
    <w:rsid w:val="00CD7200"/>
    <w:rsid w:val="00CE5FBA"/>
    <w:rsid w:val="00D14D63"/>
    <w:rsid w:val="00D3038A"/>
    <w:rsid w:val="00D666AD"/>
    <w:rsid w:val="00D726C3"/>
    <w:rsid w:val="00DB0365"/>
    <w:rsid w:val="00DE506C"/>
    <w:rsid w:val="00DF342E"/>
    <w:rsid w:val="00DF478C"/>
    <w:rsid w:val="00DF6931"/>
    <w:rsid w:val="00E10611"/>
    <w:rsid w:val="00E26245"/>
    <w:rsid w:val="00E428AC"/>
    <w:rsid w:val="00F25444"/>
    <w:rsid w:val="00F63938"/>
    <w:rsid w:val="00F7474D"/>
    <w:rsid w:val="00F93DC7"/>
    <w:rsid w:val="00FA41F2"/>
    <w:rsid w:val="00FA5BE0"/>
    <w:rsid w:val="00FB57EA"/>
    <w:rsid w:val="00FC46B8"/>
    <w:rsid w:val="00FD72F3"/>
    <w:rsid w:val="00FE7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609C4-9C23-4D5C-A492-F2375BE2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65"/>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BodyText"/>
    <w:qFormat/>
    <w:rsid w:val="00A529AC"/>
    <w:pPr>
      <w:keepNext/>
      <w:spacing w:before="240" w:after="120"/>
    </w:pPr>
    <w:rPr>
      <w:rFonts w:ascii="Liberation Sans" w:eastAsia="Microsoft YaHei" w:hAnsi="Liberation Sans" w:cs="Mangal"/>
      <w:sz w:val="28"/>
      <w:szCs w:val="28"/>
    </w:rPr>
  </w:style>
  <w:style w:type="paragraph" w:styleId="BodyText">
    <w:name w:val="Body Text"/>
    <w:basedOn w:val="Normal"/>
    <w:rsid w:val="00A529AC"/>
    <w:pPr>
      <w:spacing w:after="140" w:line="288" w:lineRule="auto"/>
    </w:pPr>
  </w:style>
  <w:style w:type="paragraph" w:styleId="List">
    <w:name w:val="List"/>
    <w:basedOn w:val="BodyText"/>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BalloonText">
    <w:name w:val="Balloon Text"/>
    <w:basedOn w:val="Normal"/>
    <w:semiHidden/>
    <w:qFormat/>
    <w:rsid w:val="00325322"/>
    <w:rPr>
      <w:rFonts w:ascii="Tahoma" w:hAnsi="Tahoma" w:cs="Tahoma"/>
      <w:sz w:val="16"/>
      <w:szCs w:val="16"/>
    </w:rPr>
  </w:style>
  <w:style w:type="paragraph" w:styleId="DocumentMap">
    <w:name w:val="Document Map"/>
    <w:basedOn w:val="Normal"/>
    <w:semiHidden/>
    <w:qFormat/>
    <w:rsid w:val="006D58B6"/>
    <w:pPr>
      <w:shd w:val="clear" w:color="auto" w:fill="000080"/>
    </w:pPr>
    <w:rPr>
      <w:rFonts w:ascii="Tahoma" w:hAnsi="Tahoma" w:cs="Tahoma"/>
      <w:sz w:val="20"/>
      <w:szCs w:val="20"/>
    </w:rPr>
  </w:style>
  <w:style w:type="paragraph" w:styleId="ListParagraph">
    <w:name w:val="List Paragraph"/>
    <w:basedOn w:val="Normal"/>
    <w:uiPriority w:val="34"/>
    <w:qFormat/>
    <w:rsid w:val="00481CDD"/>
    <w:pPr>
      <w:ind w:left="708"/>
    </w:pPr>
  </w:style>
  <w:style w:type="table" w:styleId="TableGrid">
    <w:name w:val="Table Grid"/>
    <w:basedOn w:val="TableNormal"/>
    <w:rsid w:val="009C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78FB-BFB3-43D4-AD00-EA7BFDA4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13689</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Tajništvo</cp:lastModifiedBy>
  <cp:revision>2</cp:revision>
  <cp:lastPrinted>2019-02-01T09:18:00Z</cp:lastPrinted>
  <dcterms:created xsi:type="dcterms:W3CDTF">2019-02-05T13:40:00Z</dcterms:created>
  <dcterms:modified xsi:type="dcterms:W3CDTF">2019-02-05T13:40:00Z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